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9" w:rsidRPr="00FD1A36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публичных слушаний по проекту постановления администрации района «Об утверждении Стратегии социально-экономического развития 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Гусь-Хрустальный район (муниципальный район) Владимирской области на период до 2035 года»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tabs>
          <w:tab w:val="center" w:pos="4946"/>
          <w:tab w:val="center" w:pos="8536"/>
        </w:tabs>
        <w:suppressAutoHyphens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февраля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г. Гусь-Хрустальный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10:30 часов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Председательствовал: Кабенкин Алексей Викторович — глава администрации района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Ind w:w="-106" w:type="dxa"/>
        <w:tblLook w:val="00A0"/>
      </w:tblPr>
      <w:tblGrid>
        <w:gridCol w:w="568"/>
        <w:gridCol w:w="3793"/>
        <w:gridCol w:w="5287"/>
      </w:tblGrid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Pr="007E6DC7" w:rsidRDefault="007F2A49" w:rsidP="00065D7F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Замещаемая должность*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Василий Иванович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района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Вадим Николаевич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 по жилищно-коммунальному хозяйству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Ахмерова Лидия Владимировна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района, начальник финансового управления администрации района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Денисов Алексей Александрович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 по строительству, председатель комитета по управлению муниципальным имуществом, градостроительству и архитектуре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Борзенко Дмитрий Юрьевич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 по социальной политике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Куликова Мария Александровна</w:t>
            </w:r>
          </w:p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ind w:firstLine="56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района, управляющий делами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Скворцов Евгений Алексеевич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«Управление РПСхП»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Федорова Оксана Александровна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образования администрации района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Буянова Галина Анатольевна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культуре, физкультуре и спорту, молодежной и социальной политике администрации района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Голубева Надежда Геннадьевна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«Отдел по вопросам спорта, семьи и молодежи»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Филиппова Олеся Викторовна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«Отдел по вопросам спорта, семьи и молодежи»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Трынков Роман Владимирович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«Отдел жилищно-коммунального хозяйства»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Староверова Наталья Николаевна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связям с общественностью и СМИ администрации района</w:t>
            </w:r>
          </w:p>
        </w:tc>
      </w:tr>
      <w:tr w:rsidR="007F2A49" w:rsidRPr="007E6DC7" w:rsidTr="006C2E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Мироедова Алла Алексеевна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МКУ «Управление РПСхП», ответственный секретарь </w:t>
            </w:r>
          </w:p>
        </w:tc>
      </w:tr>
    </w:tbl>
    <w:p w:rsidR="007F2A49" w:rsidRPr="00FD1A36" w:rsidRDefault="007F2A49" w:rsidP="00065D7F">
      <w:pPr>
        <w:widowControl w:val="0"/>
        <w:suppressAutoHyphens w:val="0"/>
        <w:spacing w:after="0" w:line="240" w:lineRule="auto"/>
        <w:ind w:firstLine="566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6"/>
        <w:tblW w:w="9418" w:type="dxa"/>
        <w:tblLook w:val="00A0"/>
      </w:tblPr>
      <w:tblGrid>
        <w:gridCol w:w="567"/>
        <w:gridCol w:w="3739"/>
        <w:gridCol w:w="5112"/>
      </w:tblGrid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Гойхер Олег Лазаревич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Центра стратегического развития  Владимирского филиала РАНХИГС</w:t>
            </w:r>
          </w:p>
        </w:tc>
      </w:tr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Петров Дмитрий Викторович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Центра стратегического развития Владимирского филиала РАНХИГС</w:t>
            </w:r>
          </w:p>
        </w:tc>
      </w:tr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Силина Татьяна Леонидовна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научный сотрудник научно-исследовательского отдела, кандидат экономических наук, доцент кафедры финансы </w:t>
            </w:r>
          </w:p>
        </w:tc>
      </w:tr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Сизганова 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Юрьевна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государственного и муниципального управления, кандидат педагогических наук</w:t>
            </w:r>
          </w:p>
        </w:tc>
      </w:tr>
      <w:tr w:rsidR="007F2A49" w:rsidRPr="007E6DC7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Кайдащова Анна Кимовна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государственного и муниципального управления, кандидат экономических наук</w:t>
            </w:r>
          </w:p>
        </w:tc>
      </w:tr>
      <w:tr w:rsidR="007F2A49" w:rsidRPr="007E6DC7">
        <w:trPr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Карцев Борис Владимирович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государственного и муниципального управления, кандидат экономических наук</w:t>
            </w:r>
          </w:p>
        </w:tc>
      </w:tr>
      <w:tr w:rsidR="007F2A49" w:rsidRPr="007E6DC7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Наталья Евгеньевна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«Отдел ИОГД»</w:t>
            </w:r>
          </w:p>
        </w:tc>
      </w:tr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Андрей Владимирович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«Отдел строительного контроля»</w:t>
            </w:r>
          </w:p>
        </w:tc>
      </w:tr>
      <w:tr w:rsidR="007F2A49" w:rsidRPr="007E6DC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Анна Александровна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«Управление РПСхП»</w:t>
            </w:r>
          </w:p>
        </w:tc>
      </w:tr>
      <w:tr w:rsidR="007F2A49" w:rsidRPr="007E6DC7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Екатерина Максимовна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«Управление РПСхП»</w:t>
            </w:r>
          </w:p>
        </w:tc>
      </w:tr>
      <w:tr w:rsidR="007F2A49" w:rsidRPr="007E6DC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Виктория Николаевна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«Управление РПСхП»</w:t>
            </w:r>
          </w:p>
        </w:tc>
      </w:tr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Марина Юрьевна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«Управление РПСхП»</w:t>
            </w:r>
          </w:p>
        </w:tc>
      </w:tr>
      <w:tr w:rsidR="007F2A49" w:rsidRPr="007E6DC7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Евгеньевна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МКУ «Отдел ЖКХ»</w:t>
            </w:r>
          </w:p>
        </w:tc>
      </w:tr>
      <w:tr w:rsidR="007F2A49" w:rsidRPr="007E6DC7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Багулин Олег Владимирович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«Отдел ЖКХ»</w:t>
            </w:r>
          </w:p>
        </w:tc>
      </w:tr>
      <w:tr w:rsidR="007F2A49" w:rsidRPr="007E6DC7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Яшкова Ольга Олеговна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общего отдела администрации района</w:t>
            </w:r>
          </w:p>
        </w:tc>
      </w:tr>
      <w:tr w:rsidR="007F2A49" w:rsidRPr="007E6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Грушкина Елена Юрьевна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«Отдел ЖКХ»</w:t>
            </w:r>
          </w:p>
        </w:tc>
      </w:tr>
      <w:tr w:rsidR="007F2A49" w:rsidRPr="007E6DC7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Борисовна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МКУ «Отдел по делам ГО,ЧС и ОБ»</w:t>
            </w:r>
          </w:p>
        </w:tc>
      </w:tr>
      <w:tr w:rsidR="007F2A49" w:rsidRPr="007E6DC7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 Александр Валерьевич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ЕДДС района</w:t>
            </w:r>
          </w:p>
        </w:tc>
      </w:tr>
      <w:tr w:rsidR="007F2A49" w:rsidRPr="007E6DC7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Мазалова Мария Анатольевна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МКУ «Отдел ЖКХ»</w:t>
            </w:r>
          </w:p>
        </w:tc>
      </w:tr>
      <w:tr w:rsidR="007F2A49" w:rsidRPr="007E6DC7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администраций муниципальных образований (поселений)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49" w:rsidRDefault="007F2A49" w:rsidP="00065D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человек</w:t>
            </w:r>
          </w:p>
        </w:tc>
      </w:tr>
    </w:tbl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79.5pt;margin-top:318.45pt;width:1.15pt;height:1.15pt;z-index:251658240;visibility:visible;mso-position-horizontal-relative:page;mso-position-vertical-relative:page">
            <v:imagedata r:id="rId7" o:title=""/>
            <w10:wrap type="square" anchorx="page" anchory="page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Участников публичных слушаний - 47 человека. 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Список прилагается.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Повестка дня: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Обсуждение проекта постановления администрации района «Об утверждении Стратегии социально-экономического развития муниципального образования Гусь-Хрустальный район (муниципальный район) Владимирской области на период до 2035 года».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Глава администрации района - Кабенкин Алексей Викторович.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Директор Центра стратегического развития – Гойхер Олег Лазаревич.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Выступления участников публичных слушаний.</w:t>
      </w:r>
    </w:p>
    <w:p w:rsidR="007F2A49" w:rsidRDefault="007F2A49" w:rsidP="00065D7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СЛУШАЛИ:</w:t>
      </w:r>
    </w:p>
    <w:p w:rsidR="007F2A49" w:rsidRDefault="007F2A49" w:rsidP="00065D7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pStyle w:val="ListParagraph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6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Стратегии социально-экономического развития муниципального образования Гусь-Хрустальный район (муниципальный район) Владимирской области на период до 2035 года. 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Кабенкин Алексей Викторович обратился с приветственным словом к участникам публичных слушаний: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участники публичных слушаний!</w:t>
      </w:r>
    </w:p>
    <w:p w:rsidR="007F2A49" w:rsidRDefault="007F2A49" w:rsidP="00065D7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проводятся публичные слушания по проекту постановления администрации района «Об утверждении стратегии социально-экономического развития муниципального образования Гусь-Хрустальный район (муниципальный район) Владимирской области на период до 2035 года».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проводятся в соответствии с Федеральным законом от 06.10.2003 № 131-ФЗ «Об общих принципах организации </w:t>
      </w:r>
      <w:r>
        <w:rPr>
          <w:noProof/>
          <w:lang w:eastAsia="ru-RU"/>
        </w:rPr>
        <w:pict>
          <v:shape id="Рисунок 1" o:spid="_x0000_i1025" type="#_x0000_t75" style="width:1.5pt;height:1.5pt;visibility:visible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РФ», Уставом Гусь-Хрустального района,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Положением о порядке организации и проведения публичных слушаний на территории муниципального образования Гусь-Хрустальный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Советом народных депутатов Гусь-Хрустального района от 23.12.2016 № 151, постановлением администрации района от 01.02.2024 № 143«О назначении и проведении публичных слушаний» (размещёно на официальном сайте администрации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www.gusr.ru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– 01.02.2024 и опубликовано в газете «Афиша» - 07.02.2024 № 8).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заинтересованные лица могли ознакомиться с проектом постановления администрации района «Об утверждении стратегии социально-экономического развития муниципального образования Гусь-Хрустальный район (муниципальный район) Владимирской области на период до 2035 года» (далее проект постановления, Стратегия), который размещён на официальном сайте администрации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. gusr.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10 часов 30 минут 28 февраля 2024 года предложений по проекту постановления не поступало.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Гойхер Олег Лазаревич: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Инициатором публичных слушаний выступает глава администрации района. Стратегия разработана во исполнение постановления администрации района от 02.11.2023 № 1277 «О стратегии социально-экономического развития муниципального образования Гусь-Хрустальный район», в соответствии с Федеральным законом от 28.06.2014 № 172-ФЗ «О стратегическом планировании в Российской Федерации» и решением совета народных депутатов Гусь-Хрустального района от 24.10.2023 № 277 «Об утверждении Положения о стратегическом планировании в муниципальном образовании Гусь-Хрустальный район».</w:t>
      </w:r>
    </w:p>
    <w:p w:rsidR="007F2A49" w:rsidRPr="000775B1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Главная стратегическая цель Стратегии, основанная на анализе реальной ситуации в муниципальном образовании — это </w:t>
      </w:r>
      <w:r w:rsidRPr="000775B1">
        <w:rPr>
          <w:rFonts w:ascii="Times New Roman" w:hAnsi="Times New Roman" w:cs="Times New Roman"/>
          <w:color w:val="000000"/>
          <w:sz w:val="28"/>
          <w:szCs w:val="28"/>
        </w:rPr>
        <w:t>«Повышение качества жизни населения посредством эффективного использования ресурсных возможностей МО Гусь-Хрустальный район».</w:t>
      </w:r>
    </w:p>
    <w:p w:rsidR="007F2A49" w:rsidRPr="000775B1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77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Миссия</w:t>
      </w:r>
      <w:r w:rsidRPr="0007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создание комфортной среды проживания и реализация финансово-экономического потенциала района с целью достижения устойчивого повышения благосостояния жителей МО Гусь-Хрустальный район.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политика Гусь-Хрустального района должна быть построена на трех основных постулатах: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 – место, обеспечивающее высокий уровень и качество жизни для всех его жителей;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 – место реализации финансово-экономического потенциала территории;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 – территория, вносящая свой вклад в достижение целей и задач долгосрочного развития Владимирской области.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Гусь-Хрустальный район обладает особым конкурентным преимуществом. На территории района имеется целый ряд предприятий стекольной отрасли и уникальные природные зоны. Необходимость организации эффективного взаимодействия этих направлений послужила базой для обоснования концепции его стратегического развития. Реализация концепции предполагает создание промышленного стекольного кластера как драйвера социально-экономического роста района, и формирование его нового бренда как территориального продукта. В целях расширения сфер деятельности, усиления диверсификации экономики района также необходимо укреплять и развивать добывающую и деревообрабатывающую промышленности.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Основу стратегии социально-экономического развития Гусь-Хрустального района определило формирование его нового бренда как территориального продукта. Целью создания нового бренда является изменение отношения и представления о муниципальном образовании.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Брендирование должно осуществляться посредством создания и развития на двухсегментной основе природно-стекольного кластера. В системе кластера предусматривается интеграция реализации политик ведущих отраслей экономики района, а также социальных приоритетов, межрайонной и отраслевой кооперации. 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Брендирование территории будет способствовать повышению инвестиционной привлекательности района для бизнеса, привлечению рабочей силы и активизации туристического потока.</w:t>
      </w:r>
    </w:p>
    <w:p w:rsidR="007F2A49" w:rsidRPr="000775B1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Идеологическим </w:t>
      </w:r>
      <w:r w:rsidRPr="00077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базисом бренда района должны стать гутные промыслы, а генеральным слоганом – «Гусь-Хрустальный район – родина стеклодувов».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кластерного подхода к стратегическому позиционированию района необходимо сформировать территориальный бренд </w:t>
      </w:r>
      <w:r w:rsidRPr="000775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77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Стекольный край»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материнский бренд, включающий в себя «природный» и «стекольный» сегменты кластера.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и продвижении существующих и новых товарных групп необходимо придерживаться кластерного подхода и вписывать продукцию (товары, работы, услуги) в уже сложившиеся вертикальные и горизонтальные интеграционные структуры.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туризма на территории Гусь-Хрустального района должны быть развиты не только «точки внимания» (предприятия-производители товарных брендов, музеи, парки и др.), но и «точки питания» (дары Мещерского леса (ягоды, грибы, травы), продукты (гусь копченый, вяленый и т.п.) и напитки (морсы, наливки и др.). В перспективе они могут стать основой развития гастрономического, сельского туризма и формирования новых туристских дестинаций, расширения ассортиментного ряда гастрономических сувениров.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территориальных преимуществ Гусь-Хрустального района создает возможности для формирования связанного кластера.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Кластерный подход позволяет расширить конкурентные преимущества, которыми обладает территория. Одновременно с этим создаются условия для формирования кластеров и в смежных областях за счет активизации деятельности по построению комфортной среды для повышения деловой активности, консолидации бизнеса и государственных структур для привлечения инвестиций.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кластерной системы определяются трендами для дальнейшего развития и повышения эффективности входящих в нее организаций: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объединение и концентрация ресурсов;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и внедрение информационно-технических систем;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совместная подготовка кадров всех уровней;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обмен передовым опытом и новейшими достижениями в отрасли;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общей политики кластера;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сотрудничества и кооперации участников кластера во внутренней и внешней среде.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Гусь-Хрустальном районе исторически сложилась и в настоящее время достигла хорошего экономического уровня система производств изделий из стекла. Так, на территории, осуществляют деятельность ряд заводов стекольного производства, существуют мощности по производству запасных частей к нему и сырья в виде песка, образовательные учреждения (как на территории города, района, так и в регионе). Тем не менее, существуют задачи по общей координации деятельности кластера, а также выпуску (закупке) стеклоформующих машин. Именно эти задачи могут быть решены в рамках применения кластерной модели и требуют скоординированной работы администрации района, предприятий и организаций вошедших (потенциально готовых к вхождению) в кластер, а также профильных структурных подразделений Правительства Владимирской области.</w:t>
      </w:r>
    </w:p>
    <w:p w:rsidR="007F2A49" w:rsidRPr="000775B1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работы по данному направлению в 2024 году планируется </w:t>
      </w:r>
      <w:r w:rsidRPr="0007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образовательно-производственного центра (кластера). </w:t>
      </w:r>
    </w:p>
    <w:p w:rsidR="007F2A49" w:rsidRPr="000775B1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7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центра – повышение эффективности взаимодействия предприятий химической отрасли и организаций среднего профессионального образования для подготовки квалифицированных кадров, способных обеспечить экономическую и стратегическую конкурентоспособность предприятий.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данного проекта планируется привлечь инвестиции в размере 100 млн. рублей. 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стекольного кластера на территории Гусь-Хрустального района эффективно благодаря географической концентрации предприятий стекольной (предприятий химической промышленности, деятельность которых связана со стекольным производством) промышленности, наличием «критической массы» участников кластера, их высоким уровнем внешней и внутренней связанности, инновационной активностью.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кластера произведет синергетический эффект среди обслуживающих и вспомогательных сегментов рыночных отношений.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Кластер позволит достигнуть концентрации инновационно-активных предприятий, что будет способствовать вовлеченности научного и образовательного сообщества в деятельность участников кластера.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уникальных природных ресурсов на территории  Гусь-Хрустального района определяет специфику формирования природного сегмента кластера. Особенность рекреационного потенциала территории позволяет определить ее специализации – экологический, культурно-познавательный, приключенческий туризм и другие виды услуг. Многообразие специализаций кластера даст возможность, наряду с конкуренцией, успешно взаимодействовать, дополняя друг друга. Эта особенность создает предпосылки для формирования устойчивых территориальных систем межрегионального взаимодействия в сфере туризма на основе кластерного подхода, обеспечения организации инфраструктуры для предоставления разнообразных специализированных сопутствующих услуг посетителям.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следует уделить развитию новых типов и форм размещения туристов, созданию транспортной системы, отвечающей принципам устойчивого развития, формированию инфраструктуры для проведения тематических мероприятий. В связи с тем, что Национальный парк «Мещера» проходит через территории нескольких муниципальных образований, предлагается создание совместного трансграничного направления кластера. Создание и развитие природного кластера позволит повысить уровень комфорта в условиях ценных природных территорий, создать новую нишу, которая сможет объединить интересы местного населения, туристов, а также малых и средних предпринимателей. Развитие природного кластера создаст условия для улучшения жизни в сельской местности.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миссии, стратегических целей, бренда и выбранного кластерного подхода формирования стратегии социально-экономического развития Гусь-Хрустального района на период до 2035 года определены следующие приоритетные направления.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Приоритетное направление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реализация потенциала предприятий стекольной промышленности.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создание условий для развития стекольного кластера.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программы развития структуры стекольного кластера района;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механизма участия предприятий района в стекольном кластере Владимирской области;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участия района в межрайонной кластерной агломерации в рамках развития стекольного кластера;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концепции планирования и прогнозирования ресурсных потребностей предприятий стекольной отрасли района.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Приоритетное направление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реализация потенциалов добывающей, деревообрабатывающей промышленности, лесного фонда и сельского хозяйства района.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создание условий для раскрытия предпринимательского потенциала в сфере добывающей, деревообрабатывающей промышленности, лесного фонда и сельского хозяйства района.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инвестиционных предложений для создания деревообрабатывающего предприятия полного цикла;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плана рекультивации сельскохозяйственных земель;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программы включения предприятий добывающей отрасли в структуру стекольного кластера района и систему межрайонной и межрегиональной кооперации химической отрасли;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создание, поддержка и реализация предпринимательских инициатив в сфере развития лесного фонда района, охоты и рыболовства.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Приоритетное направление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развитие рынка туристских услуг района.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создание условий для развития туристско-рекреационной деятельности района.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развития инфраструктуры экотуризма вблизи национального парка «Мещера»;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концепции интеграции района в туристско-рекреационном кластере Владимирской области;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создание, поддержка и реализация новых туристских продуктов на территории района.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Приоритетное направление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создание комфортных и безопасных условий проживания населения района.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создание условий реализации потенциала инженерной инфраструктуры для обеспечения жителей качественными услугами в жилищно-коммунальной, дорожной, транспортной и социальной сферах.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доведение объектов жилищно-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коммунальной (в том числе объектов водоснабжения и очистных сооружений), дорожной,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транспортной и социальной инфраструктур до нормативных значений;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мероприятий по приведению в соответствие территорий в рамках природоохранной деятельности;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реконструкция существующих и создание новых объектов инфраструктурной, образовательной, спортивной и культурной направленности;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расширению спектра услуг по сохранению и укреплению здоровья населения.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Приоритетное направление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развитие гражданского общества и местного самоуправления.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создание условий для устойчивого развития и функционирования гражданского общества и местного самоуправления.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развитию гражданского общества посредством партнерства общественных объединений, местного сообщества и органов управления;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усилить координацию и партнерство с региональными и федеральными органами управления;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системы телекоммуникационной и информационной поддержки органов управления.</w:t>
      </w:r>
    </w:p>
    <w:p w:rsidR="007F2A49" w:rsidRDefault="007F2A49" w:rsidP="00065D7F">
      <w:pPr>
        <w:widowControl w:val="0"/>
        <w:tabs>
          <w:tab w:val="left" w:pos="1134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Потенциальные центры развития территории Гусь-Хрустального района: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образовательно-производственного центра (кластера) «Гусь-Хрустальный» на базе ГАПОУ ВО «Гусевской стекольный колледж» им. Г.Ф. Чехлова в рамках реализации стекольного кластера.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опорных пунктов развития сельских агломераций в г. Курлово и пос. Уршельский.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промышленного потенциала крупнейших предприятий стекольного кластера.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Координация деятельности предприятий полного цикла добывающих и перерабатывающих отраслей района.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туристской инфраструктуры в целях реализации проекта развития Национального парка «Мещёра».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объектов социальной инфраструктуры путем строительства стадиона, бассейна и объектов дворовой физической культуры.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туристских объектов, используя потенциал охоты и рыболовства.</w:t>
      </w:r>
    </w:p>
    <w:p w:rsidR="007F2A49" w:rsidRDefault="007F2A49" w:rsidP="00065D7F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Модернизация и реконструкция объектов ЖКХ и районной инфраструктуры. 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Исходя из выше сказанного можно подвести итоги: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 результате реализации Стратегии предполагается обеспечить выход муниципального образования Гусь-Хрустальный район на новый уровень развития, характеризующийся уверенной динамикой роста качества жизни населения, стабильно развивающейся экономикой, эффективным сотрудничеством власти и бизнеса, устойчивыми социальными и политическими отношениями.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Стратегия социально-экономического развития Гусь-Хрустального района – это: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нового бренда муниципального образования как территориального продукта;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реализация потенциала посредством развития природно-стекольного кластера;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реализация потенциалов добывающей, деревообрабатывающей промышленности, лесного фонда и сельского хозяйства района посредством активизации инвестиционных процессов, реализации предпринимательских инициатив, а также возрождение сельскохозяйственных земель путем рекультивации;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рынка туристских услуг района посредством создания природно-стекольного кластера муниципального образования и интеграции его в туристско-рекреационный кластер Владимирской области, создания новых туристских продуктов, а также развития инфраструктуры экотуризма вблизи национального парка «Мещера»;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и безопасных условий проживания населения района посредством реализации потенциала инженерной инфраструктуры для обеспечения жителей качественными услугами в жилищно-коммунальной, дорожной, транспортной и социальной сферах;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гражданского общества и местного самоуправления посредством усиления динамики партнерских отношений общественных объединений, местного сообщества и органов управления района, а также развития телекоммуникационной и информационной поддержки органов управления.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Ежегодная оценка результатов реализации мероприятий стратегии становится основой для определения имеющихся слабых звеньев и угроз, неучтенных факторов, появившихся возможностей, положительного опыта и лучших практик.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оценки реализации стратегии базируются на показателях, которые предусматривают: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мероприятий стратегии в отчетном периоде, включенных в текущий оперативный план;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объективные изменения социально-экономического положения Гусь-Хрустального района в период реализации стратегии;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изменения субъективной оценки местным сообществом социально-экономического положения района.</w:t>
      </w:r>
    </w:p>
    <w:p w:rsidR="007F2A49" w:rsidRPr="005675C2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65D7F">
        <w:rPr>
          <w:rFonts w:ascii="Times New Roman" w:hAnsi="Times New Roman" w:cs="Times New Roman"/>
          <w:sz w:val="28"/>
          <w:szCs w:val="28"/>
          <w:lang w:eastAsia="ru-RU"/>
        </w:rPr>
        <w:t>Таким образом, Стратегия социально-экономического развития Гусь-Хрустальный района на период до 2035 года</w:t>
      </w:r>
      <w:r w:rsidRPr="00065D7F">
        <w:rPr>
          <w:sz w:val="28"/>
          <w:szCs w:val="28"/>
        </w:rPr>
        <w:t xml:space="preserve"> </w:t>
      </w:r>
      <w:r w:rsidRPr="00065D7F">
        <w:rPr>
          <w:rFonts w:ascii="Times New Roman" w:hAnsi="Times New Roman" w:cs="Times New Roman"/>
          <w:sz w:val="28"/>
          <w:szCs w:val="28"/>
          <w:lang w:eastAsia="ru-RU"/>
        </w:rPr>
        <w:t>концентрирует внимание на ключевых, наиболее перспективных направлениях, выявленных на основе комплексного анализа внутреннего потенциала, сильных и слабых сторон,</w:t>
      </w:r>
      <w:r w:rsidRPr="00065D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75C2">
        <w:rPr>
          <w:rFonts w:ascii="Times New Roman" w:hAnsi="Times New Roman" w:cs="Times New Roman"/>
          <w:sz w:val="28"/>
          <w:szCs w:val="28"/>
          <w:lang w:eastAsia="ru-RU"/>
        </w:rPr>
        <w:t>геополитического положения территории и возможных сценариев его дальнейшего развития.</w:t>
      </w:r>
    </w:p>
    <w:p w:rsidR="007F2A49" w:rsidRDefault="007F2A49" w:rsidP="00065D7F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F2A49" w:rsidRDefault="007F2A49" w:rsidP="00065D7F">
      <w:pPr>
        <w:pStyle w:val="ListParagraph"/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Выступление участников публичных слушаний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района Панин Василий Иванович:</w:t>
      </w:r>
      <w:bookmarkStart w:id="0" w:name="_GoBack"/>
      <w:bookmarkEnd w:id="0"/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Стратегия социально-экономического развития Гусь-Хрустального района на период до 2035 года, один из важнейших документов, который задает цели и задачи, а также вектор развития, к которому стремится наш район.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 целостный с хорошими четкими, большими целями и задачами, направленными на первую очередь на повышение качества жизни населения, развитие социальной сферы, стекольного кластера и формирование целостной природно-промышленной муниципальной среды.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поддержать данную Стратегию и рекомендовать администрации района принять проект постановление «Об утверждении Стратегии социально-экономического развития муниципального образования Гусь-Хрустальный район (муниципальный район) Владимирской области на период до 2035 года».</w:t>
      </w:r>
    </w:p>
    <w:p w:rsidR="007F2A49" w:rsidRPr="0007047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ГОЛОСОВАЛИ:</w:t>
      </w:r>
    </w:p>
    <w:p w:rsidR="007F2A49" w:rsidRPr="0007047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Утвердить проект постановления «Об утверждении Стратегии социально-экономического развития муниципального образования Гусь-Хрустальный район (муниципальный район) Владимирской области на период до 2035 года» 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«ЗА» - 47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«ПРОТИВ»  - 0 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«ВОЗДЕРЖАЛОСЬ»-0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единогласно.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Председательствующий поблагодарил участников слушаний за работу.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Публичные слушания объявил закрытыми.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Председатель: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администрации района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А.В. Кабенкин</w:t>
      </w: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lang w:eastAsia="ru-RU"/>
        </w:rPr>
      </w:pPr>
    </w:p>
    <w:p w:rsidR="007F2A49" w:rsidRDefault="007F2A49" w:rsidP="00065D7F">
      <w:pPr>
        <w:pStyle w:val="ListParagraph"/>
        <w:widowControl w:val="0"/>
        <w:suppressAutoHyphens w:val="0"/>
        <w:spacing w:after="0" w:line="240" w:lineRule="auto"/>
        <w:ind w:left="0"/>
        <w:jc w:val="center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28.02.2024</w:t>
      </w:r>
    </w:p>
    <w:sectPr w:rsidR="007F2A49" w:rsidSect="005675C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49" w:rsidRDefault="007F2A49">
      <w:r>
        <w:separator/>
      </w:r>
    </w:p>
  </w:endnote>
  <w:endnote w:type="continuationSeparator" w:id="0">
    <w:p w:rsidR="007F2A49" w:rsidRDefault="007F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49" w:rsidRDefault="007F2A49">
      <w:r>
        <w:separator/>
      </w:r>
    </w:p>
  </w:footnote>
  <w:footnote w:type="continuationSeparator" w:id="0">
    <w:p w:rsidR="007F2A49" w:rsidRDefault="007F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771D5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0B79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5C32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98601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0605F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D4774F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4F7170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8462D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74877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AA03C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F2D55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D07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98C4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9E170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7F"/>
    <w:rsid w:val="00065D7F"/>
    <w:rsid w:val="00070479"/>
    <w:rsid w:val="000775B1"/>
    <w:rsid w:val="00125521"/>
    <w:rsid w:val="00174849"/>
    <w:rsid w:val="001E2B0C"/>
    <w:rsid w:val="002A227F"/>
    <w:rsid w:val="00434152"/>
    <w:rsid w:val="0053425D"/>
    <w:rsid w:val="005675C2"/>
    <w:rsid w:val="005C3A29"/>
    <w:rsid w:val="006B79AF"/>
    <w:rsid w:val="006C2EDA"/>
    <w:rsid w:val="007E6DC7"/>
    <w:rsid w:val="007F2A49"/>
    <w:rsid w:val="00992853"/>
    <w:rsid w:val="00AC3B57"/>
    <w:rsid w:val="00D54395"/>
    <w:rsid w:val="00E46A41"/>
    <w:rsid w:val="00EA74AD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AC3B5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2A227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227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25D"/>
    <w:rPr>
      <w:lang w:eastAsia="en-US"/>
    </w:rPr>
  </w:style>
  <w:style w:type="paragraph" w:styleId="List">
    <w:name w:val="List"/>
    <w:basedOn w:val="BodyText"/>
    <w:uiPriority w:val="99"/>
    <w:rsid w:val="002A227F"/>
  </w:style>
  <w:style w:type="paragraph" w:styleId="Caption">
    <w:name w:val="caption"/>
    <w:basedOn w:val="Normal"/>
    <w:uiPriority w:val="99"/>
    <w:qFormat/>
    <w:rsid w:val="002A227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C3B57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A227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C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25D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AC3B57"/>
    <w:pPr>
      <w:spacing w:after="160" w:line="259" w:lineRule="auto"/>
      <w:ind w:left="720"/>
    </w:pPr>
    <w:rPr>
      <w:kern w:val="2"/>
    </w:rPr>
  </w:style>
  <w:style w:type="paragraph" w:styleId="Header">
    <w:name w:val="header"/>
    <w:basedOn w:val="Normal"/>
    <w:link w:val="HeaderChar"/>
    <w:uiPriority w:val="99"/>
    <w:rsid w:val="001E2B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25D"/>
    <w:rPr>
      <w:lang w:eastAsia="en-US"/>
    </w:rPr>
  </w:style>
  <w:style w:type="character" w:styleId="PageNumber">
    <w:name w:val="page number"/>
    <w:basedOn w:val="DefaultParagraphFont"/>
    <w:uiPriority w:val="99"/>
    <w:rsid w:val="001E2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10</Pages>
  <Words>3324</Words>
  <Characters>18951</Characters>
  <Application>Microsoft Office Outlook</Application>
  <DocSecurity>0</DocSecurity>
  <Lines>0</Lines>
  <Paragraphs>0</Paragraphs>
  <ScaleCrop>false</ScaleCrop>
  <Company>Администрация Гусь-Хрустального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</dc:creator>
  <cp:keywords/>
  <dc:description/>
  <cp:lastModifiedBy>Ipofraditova</cp:lastModifiedBy>
  <cp:revision>36</cp:revision>
  <cp:lastPrinted>2024-02-29T10:54:00Z</cp:lastPrinted>
  <dcterms:created xsi:type="dcterms:W3CDTF">2024-02-22T01:49:00Z</dcterms:created>
  <dcterms:modified xsi:type="dcterms:W3CDTF">2024-03-01T12:10:00Z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