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</w:rPr>
        <w:t>Аналитическая записка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к отчету о реализации муниципальных программ 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</w:rPr>
        <w:t>в 2020 году</w:t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lang w:val="ru-RU"/>
        </w:rPr>
        <w:t xml:space="preserve">Отчет о ходе реализации муниципальных программ за 2020 год подготовлен в соответствии с постановлением администрации муниципального образования Гусь-Хрустальный район (муниципальный район) от 10.10.2014 № 1487 «Об утверждении Порядка разработки, реализации и оценки эффективности муниципальных программ муниципального образования Гусь-Хрустальный район». </w:t>
      </w:r>
    </w:p>
    <w:p>
      <w:pPr>
        <w:pStyle w:val="Normal1"/>
        <w:widowControl/>
        <w:bidi w:val="0"/>
        <w:spacing w:lineRule="auto" w:line="240" w:before="0" w:after="0"/>
        <w:ind w:left="0" w:right="57" w:firstLine="680"/>
        <w:jc w:val="both"/>
        <w:rPr/>
      </w:pPr>
      <w:r>
        <w:rPr>
          <w:rFonts w:cs="Times New Roman" w:ascii="Times New Roman" w:hAnsi="Times New Roman"/>
          <w:sz w:val="28"/>
          <w:lang w:val="ru-RU"/>
        </w:rPr>
        <w:t>В 2020 году в муниципальном образовании Гусь-Хрустальный район выполнялись мероприятия 25 муниципальных программ.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 xml:space="preserve">Необходимый объем бюджетных и внебюджетных средств на реализацию программных мероприятий 2020 года по состоянию на 1 января 2021 года составил 1476,9 млн. руб., из них: </w:t>
      </w:r>
    </w:p>
    <w:p>
      <w:pPr>
        <w:pStyle w:val="Normal1"/>
        <w:widowControl/>
        <w:bidi w:val="0"/>
        <w:spacing w:lineRule="auto" w:line="240" w:before="0" w:after="0"/>
        <w:ind w:left="-283" w:right="0" w:firstLine="964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- федеральный бюджет - 121,2 млн. руб.;</w:t>
      </w:r>
    </w:p>
    <w:p>
      <w:pPr>
        <w:pStyle w:val="Normal1"/>
        <w:widowControl/>
        <w:bidi w:val="0"/>
        <w:spacing w:lineRule="auto" w:line="240" w:before="0" w:after="0"/>
        <w:ind w:left="-283" w:right="0" w:firstLine="964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 xml:space="preserve">- областной бюджет - 657,8 млн. руб.; </w:t>
      </w:r>
    </w:p>
    <w:p>
      <w:pPr>
        <w:pStyle w:val="Normal1"/>
        <w:widowControl/>
        <w:bidi w:val="0"/>
        <w:spacing w:lineRule="auto" w:line="240" w:before="0" w:after="0"/>
        <w:ind w:left="-283" w:right="0" w:firstLine="964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 xml:space="preserve">- районный бюджет - 651,2 млн. руб.; </w:t>
      </w:r>
    </w:p>
    <w:p>
      <w:pPr>
        <w:pStyle w:val="Normal1"/>
        <w:widowControl/>
        <w:bidi w:val="0"/>
        <w:spacing w:lineRule="auto" w:line="240" w:before="0" w:after="0"/>
        <w:ind w:left="-283" w:right="0" w:firstLine="964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- внебюджетные источники - 46,7 млн. рублей.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По состоянию на 01.01.2021 за счет всех источников финансирования на реализацию мероприятий муниципальных программ израсходовано 1394,7 млн. руб., что составляет 94,4 % от необходимого объема средств на 2020 год. Из средств районного бюджета за 2020 год израсходовано 647,5 млн. рублей.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ru-RU"/>
        </w:rPr>
        <w:t>По состоянию на 1 января 2021 года 10 муниципальных программ получили софинансирование из областного бюджета на сумму 601,2 млн. рублей, 4 программы - из федерального бюджета на сумму - 117,8 млн. рублей. Из средств внебюджетных источников израсходовано 28,1 млн. рублей.</w:t>
      </w:r>
      <w:r>
        <w:rPr>
          <w:rFonts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>Реализация мероприятий с расходованием денежных средств 5 муниципальных программ в 2020 году не запланирована, поэтому денежные средства по этим программам не израсходованы.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</w:rPr>
        <w:t>В 2020 году реализация мероприятий муниципальных программ характеризовалась следующими данными: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«Развитие агропромышленного комплекса Гусь-Хрустального района на 2013-2020 годы»</w:t>
      </w:r>
      <w:r>
        <w:rPr>
          <w:rFonts w:cs="Times New Roman" w:ascii="Times New Roman" w:hAnsi="Times New Roman"/>
          <w:color w:val="000000"/>
          <w:sz w:val="28"/>
        </w:rPr>
        <w:t>: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«Устойчивое развитие сельских территорий»</w:t>
      </w:r>
      <w:r>
        <w:rPr>
          <w:rFonts w:cs="Times New Roman" w:ascii="Times New Roman" w:hAnsi="Times New Roman"/>
          <w:color w:val="000000"/>
          <w:sz w:val="28"/>
        </w:rPr>
        <w:t>: разработка ПСД по газификации ул. Нижняя п. Анопино - 350 тыс. руб.; строительство объекта «распределительный газопровод низкого давления ул. Лесная п.Уршельский - 421,1 тыс. руб.; проверка достоверности определения сметной стоимости объекта: «Распределительный газопровод и газопроводы-вводы низкого давления для газоснабжения жилых домов д. Константиново» - 14 тыс. руб.; строительство объекта «Распределительный газопровод и газопроводы-вводы низкого давления для газоснабжения жилых домов д. Константиново» - 1334,5 тыс. рублей.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240" w:before="0" w:after="0"/>
        <w:ind w:left="426" w:right="-284" w:hanging="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100 </w:t>
      </w:r>
      <w:r>
        <w:rPr>
          <w:rFonts w:cs="Times New Roman" w:ascii="Times New Roman" w:hAnsi="Times New Roman"/>
          <w:b/>
          <w:color w:val="000000"/>
          <w:sz w:val="28"/>
        </w:rPr>
        <w:t>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Normal1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2.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«Развитие муниципальной службы в Гусь-Хрустальном районе на 2017-2022 годы»</w:t>
      </w:r>
      <w:r>
        <w:rPr>
          <w:rFonts w:cs="Times New Roman" w:ascii="Times New Roman" w:hAnsi="Times New Roman"/>
          <w:color w:val="000000"/>
          <w:sz w:val="28"/>
        </w:rPr>
        <w:t>: проведение конкурса «Лучший муниципальный служащий Гусь-Хрустального района» - 30 тыс. руб.; организация дополнительного профессионального образования муниципальных служащих района по программам повышения квалификации - 10,4 тыс. руб.; организация диспансеризации муниципальных служащих - 188,2 тыс. рублей.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240" w:before="0" w:after="0"/>
        <w:ind w:left="426" w:right="-284" w:hanging="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3. </w:t>
      </w:r>
      <w:r>
        <w:rPr>
          <w:rFonts w:cs="Times New Roman" w:ascii="Times New Roman" w:hAnsi="Times New Roman"/>
          <w:sz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sz w:val="28"/>
        </w:rPr>
        <w:t>«Информационное общество (2014-2021 годы)»</w:t>
      </w:r>
      <w:r>
        <w:rPr>
          <w:rFonts w:cs="Times New Roman" w:ascii="Times New Roman" w:hAnsi="Times New Roman"/>
          <w:sz w:val="28"/>
        </w:rPr>
        <w:t>: развитие официального сайта администрации района - 6,1 тыс. рублей; обеспечение юридической значимости документов при предоставлении муниципальных услуг - 41 тыс. руб., обеспечение информационного взаимодействия при предоставлении муниципальных услуг - 192,3 тыс. рублей; модернизация парка компьютерного оборудования - 193,5 тыс. рублей; приобретение лицензионного программного антивирусного обеспечения - 40 тыс. руб.; организация защиты информационных систем персональных данных - 37,57 тыс. руб.; модернизация и поддержка сети передачи данных органов местного самоуправления - 5 тыс. руб.; развитие системы бесперебойного питания - 20 тыс. рублей.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240" w:before="0" w:after="0"/>
        <w:ind w:left="426" w:right="-284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sz w:val="28"/>
        </w:rPr>
        <w:t>100</w:t>
      </w:r>
      <w:r>
        <w:rPr>
          <w:rFonts w:cs="Times New Roman" w:ascii="Times New Roman" w:hAnsi="Times New Roman"/>
          <w:b/>
          <w:sz w:val="28"/>
        </w:rPr>
        <w:t xml:space="preserve"> %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</w:rPr>
        <w:t xml:space="preserve">4. Муниципальная программа </w:t>
      </w:r>
      <w:r>
        <w:rPr>
          <w:rFonts w:cs="Times New Roman" w:ascii="Times New Roman" w:hAnsi="Times New Roman"/>
          <w:b/>
          <w:sz w:val="28"/>
        </w:rPr>
        <w:t>«Управление муниципальными финансами и муниципальным долгом муниципального образования Гусь-Хрустальный район»</w:t>
      </w:r>
      <w:r>
        <w:rPr>
          <w:rFonts w:cs="Times New Roman" w:ascii="Times New Roman" w:hAnsi="Times New Roman"/>
          <w:sz w:val="28"/>
        </w:rPr>
        <w:t>: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Подпрограмма 1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«Создание условий для развития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доходного потенциала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муниципального образования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Гусь-Хрустальный район».</w:t>
      </w:r>
    </w:p>
    <w:p>
      <w:pPr>
        <w:pStyle w:val="Style25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В целях обеспечения устойчивости налоговой системы муниципального образования Гусь-Хрустальный район, развития бюджетных возможностей для выполнения государственных полномочий за 2020 год проведена работа:</w:t>
      </w:r>
    </w:p>
    <w:p>
      <w:pPr>
        <w:pStyle w:val="Style25"/>
        <w:widowControl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- по управлению бюджетным процессом: путем проведения ежемесячного анализа по исполнению доходной части консолидированного бюджета района;</w:t>
      </w:r>
    </w:p>
    <w:p>
      <w:pPr>
        <w:pStyle w:val="Normal"/>
        <w:widowControl/>
        <w:bidi w:val="0"/>
        <w:spacing w:lineRule="auto" w:line="240" w:before="0" w:after="0"/>
        <w:ind w:left="0" w:right="0" w:firstLine="794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по улучшению налогового администрирования путем установления главным администраторам (администраторам) доходов задания по мобилизации налоговых и неналоговых доходов в бюджет муниципального района;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по рассмотрению вопросов легализации заработной платы наемным работникам и осуществлению контрольных мероприятий в отношении работодателей, выплачивающих зарплату ниже величины прожиточного минимума, а также по оценке погашения задолженности по налогам;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по увеличению уровня собираемости налоговых платежей, зачисляемых в консолидированный бюджет района;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по погашению задолженности по налогу на доходы физических лиц проведено;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по проведению ежеквартального мониторинга задолженности перед бюджетом муниципального района и бюджетами муниципальных образований (поселений) района</w:t>
      </w:r>
      <w:r>
        <w:rPr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highlight w:val="white"/>
        </w:rPr>
        <w:t>по уплате налогов и иных обязательных платежей;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по созданию эффективных методов управления муниципальной собственностью.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firstLine="680"/>
        <w:jc w:val="both"/>
        <w:rPr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Подпрограмма 3 </w:t>
      </w:r>
      <w:r>
        <w:rPr>
          <w:rFonts w:cs="Times New Roman" w:ascii="Times New Roman" w:hAnsi="Times New Roman"/>
          <w:sz w:val="28"/>
          <w:szCs w:val="28"/>
          <w:highlight w:val="white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(поселений) района». В целях реализации подпрограммы: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40" w:before="0" w:after="0"/>
        <w:ind w:left="-283" w:right="0"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Перечислено:</w:t>
      </w:r>
    </w:p>
    <w:p>
      <w:pPr>
        <w:pStyle w:val="Normal"/>
        <w:widowControl w:val="false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firstLine="39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- дотации на выравнивание бюджетной обеспеченности муниципальных образований (поселений) района из районного фонда финансовой поддержки поселений в сумме 72 850 тыс. рублей или 100 % к плановым назначениям; 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иных межбюджетных трансфертов на обеспечение сбалансированности бюджетов муниципальных образований (поселений) района в сумме 65 297 тыс. рублей;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иных межбюджетных трансфертов на обеспечение сбалансированности бюджетов муниципальных образований (поселений) района в целях стимулирования органов местного самоуправления, способствующих развитию гражданского общества через добровольные пожертвования в сумме 7 893,2 тыс. рублей;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- иных межбюджетных трансфертов на обеспечение сбалансированности бюджетов муниципальных образований (поселений) района (реализация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Федерации) в сумме 1 093,7 тыс. рублей.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течение 2020 года производилось своевременное ежемесячное перечисление бюджетам муниципальных образований (поселений) района дотации на выравнивание бюджетной обеспеченности поселений района и иных межбюджетных трансфертов на обеспечение сбалансированности местных бюджетов, в том числе в виде авансовых платежей с учетом возникающих потребностей в процессе исполнения бюджетов муниципальных образований (поселений) района.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Подпрограмма 4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«Управление муниципальным долгом муниципального образования Гусь-Хрустальный район». Обеспечено отсутствие просроченной задолженности по предоставленным муниципальным образованиям (поселениям) района из бюджета муниципального района бюджетным кредитам. Расходы на обслуживание внутреннего государственного и муниципального долга и расходы по погашению долговых обязательств в текущем году отсутствуют.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Подпрограмма 5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«Совершенствование автоматизированной информационной системы управления бюджетным процессом муниципального образования Гусь-Хрустальный район»: продлено информационно-техническое сопровождение программного  комплекса по расчету заработной платы – 37,9 тыс. руб.; продлена лицензия на использование антивирусного ПО – 27,5 тыс.  руб.; обеспечено получение сотрудниками электронных подписей и продлено использование аккаунта СБИС для сдачи отчетности – 7,4 тыс. руб.; производился текущий ремонт и модернизация парка компьютерной техники, а также закупка расходных материалов на 131804 руб; 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240" w:before="0" w:after="0"/>
        <w:ind w:left="720" w:right="-284" w:hanging="0"/>
        <w:jc w:val="both"/>
        <w:rPr/>
      </w:pPr>
      <w:r>
        <w:rPr>
          <w:rFonts w:cs="Times New Roman" w:ascii="Times New Roman" w:hAnsi="Times New Roman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</w:rPr>
        <w:t>100</w:t>
      </w:r>
      <w:r>
        <w:rPr>
          <w:rFonts w:cs="Times New Roman" w:ascii="Times New Roman" w:hAnsi="Times New Roman"/>
          <w:b/>
          <w:sz w:val="28"/>
        </w:rPr>
        <w:t xml:space="preserve"> %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57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5. </w:t>
      </w:r>
      <w:r>
        <w:rPr>
          <w:rFonts w:cs="Times New Roman" w:ascii="Times New Roman" w:hAnsi="Times New Roman"/>
          <w:sz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sz w:val="28"/>
        </w:rPr>
        <w:t>«Сохранение и развитие культуры Гусь-Хрустального района на 2016-2022 годы»</w:t>
      </w:r>
      <w:r>
        <w:rPr>
          <w:rFonts w:cs="Times New Roman" w:ascii="Times New Roman" w:hAnsi="Times New Roman"/>
          <w:sz w:val="28"/>
        </w:rPr>
        <w:t xml:space="preserve">: 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57" w:firstLine="680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«Наследие»</w:t>
      </w:r>
      <w:r>
        <w:rPr>
          <w:rFonts w:cs="Times New Roman" w:ascii="Times New Roman" w:hAnsi="Times New Roman"/>
          <w:sz w:val="28"/>
        </w:rPr>
        <w:t>: организация библиотечного обслуживания населения - 25166,7 тыс. руб., сохранность и пополнение библиотечных фондов -819,8 тыс. руб., поддержка отрасли культуры на поддержку лучших работников сельских учреждений культуры - 50 тыс. руб., мероприятия про укреплению материально-технической базы МУК - 1096,8 тыс. руб.; создание модельных муниципальных библиотек (Федеральный проект «Культурная среда» НП «Культура» - 5000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57" w:firstLine="680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«Искусство»</w:t>
      </w:r>
      <w:r>
        <w:rPr>
          <w:rFonts w:cs="Times New Roman" w:ascii="Times New Roman" w:hAnsi="Times New Roman"/>
          <w:sz w:val="28"/>
        </w:rPr>
        <w:t>: Обеспечение деятельности (оказание услуг) муниципальных культурно - досуговых учреждений - 14279 тыс. руб., традиционная народная культура и культурно-досуговая деятельность, развитие народного творчества и ремесел - 478,5 тыс. руб., мероприятия по укреплению материально-технической базы МУК - 835,2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«Образование»</w:t>
      </w:r>
      <w:r>
        <w:rPr>
          <w:rFonts w:cs="Times New Roman" w:ascii="Times New Roman" w:hAnsi="Times New Roman"/>
          <w:sz w:val="28"/>
        </w:rPr>
        <w:t>: организация предоставления дополнительного образования детей в области культуры и искусства - 10459,7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«Обеспечение условий реализации Программы»</w:t>
      </w:r>
      <w:r>
        <w:rPr>
          <w:rFonts w:cs="Times New Roman" w:ascii="Times New Roman" w:hAnsi="Times New Roman"/>
          <w:sz w:val="28"/>
        </w:rPr>
        <w:t>: материально-техническое и финансовое обеспечение органов местного самоуправления и централизованных бухгалтерий в сфере культуры – 5188,5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397" w:right="-283" w:firstLine="283"/>
        <w:jc w:val="both"/>
        <w:rPr/>
      </w:pPr>
      <w:r>
        <w:rPr>
          <w:rFonts w:cs="Times New Roman" w:ascii="Times New Roman" w:hAnsi="Times New Roman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</w:rPr>
        <w:t>86,6</w:t>
      </w:r>
      <w:r>
        <w:rPr>
          <w:rFonts w:cs="Times New Roman" w:ascii="Times New Roman" w:hAnsi="Times New Roman"/>
          <w:b/>
          <w:sz w:val="28"/>
        </w:rPr>
        <w:t xml:space="preserve"> %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57" w:right="0" w:firstLine="62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6. </w:t>
      </w:r>
      <w:r>
        <w:rPr>
          <w:rFonts w:cs="Times New Roman" w:ascii="Times New Roman" w:hAnsi="Times New Roman"/>
          <w:sz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sz w:val="28"/>
        </w:rPr>
        <w:t>«Развитие физической культуры и спорта на территории Гусь-Хрустального района на 2019-2023 годы»</w:t>
      </w:r>
      <w:r>
        <w:rPr>
          <w:rFonts w:cs="Times New Roman" w:ascii="Times New Roman" w:hAnsi="Times New Roman"/>
          <w:sz w:val="28"/>
        </w:rPr>
        <w:t xml:space="preserve">: 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«Развитие физической культуры и массового спорта»</w:t>
      </w:r>
      <w:r>
        <w:rPr>
          <w:rFonts w:cs="Times New Roman" w:ascii="Times New Roman" w:hAnsi="Times New Roman"/>
          <w:sz w:val="28"/>
        </w:rPr>
        <w:t>: реализация календарного плана физкультурно-оздоровительных и спортивных мероприятий – 508,9 тыс. рублей; расходы на мероприятия по реализации Всероссийского физкультурно-спортивного комплекса «Готов к труду и обороне» - 30 тыс. рублей; обеспечение деятельности (оказание услуг) МКУ «Отдел по вопросам спорта, семьи и молодежи» - 4800,7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«Подготовка спортивного резерва»</w:t>
      </w:r>
      <w:r>
        <w:rPr>
          <w:rFonts w:cs="Times New Roman" w:ascii="Times New Roman" w:hAnsi="Times New Roman"/>
          <w:sz w:val="28"/>
        </w:rPr>
        <w:t xml:space="preserve"> - расходы на обеспечение деятельности (оказание услуг) МБУ «Спортивная школа «Мещёра» - 6720,4 тыс. руб., участие в официальных физкультурных и спортивных мероприятиях - 126,5 тыс. руб., приобретение спортивного оборудования и инвентаря для приведения муниципальных учреждений спортивной подготовки в нормативное состояние - 1004,1 тыс. руб., реализация программ спортивной подготовки в соответствии с требованиями федеральных стандартов спортивной подготовки - 334,8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397" w:right="-283" w:firstLine="283"/>
        <w:jc w:val="both"/>
        <w:rPr/>
      </w:pPr>
      <w:r>
        <w:rPr>
          <w:rFonts w:cs="Times New Roman" w:ascii="Times New Roman" w:hAnsi="Times New Roman"/>
          <w:sz w:val="28"/>
        </w:rPr>
        <w:t>Процент исполнения от годового планового назначения –</w:t>
      </w:r>
      <w:r>
        <w:rPr>
          <w:rFonts w:cs="Times New Roman" w:ascii="Times New Roman" w:hAnsi="Times New Roman"/>
          <w:b/>
          <w:bCs/>
          <w:sz w:val="28"/>
        </w:rPr>
        <w:t xml:space="preserve"> 99,9</w:t>
      </w:r>
      <w:r>
        <w:rPr>
          <w:rFonts w:cs="Times New Roman" w:ascii="Times New Roman" w:hAnsi="Times New Roman"/>
          <w:b/>
          <w:sz w:val="28"/>
        </w:rPr>
        <w:t xml:space="preserve"> %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7.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«Старшее поколение» на 2016-2022 годы</w:t>
      </w:r>
      <w:r>
        <w:rPr>
          <w:rFonts w:cs="Times New Roman" w:ascii="Times New Roman" w:hAnsi="Times New Roman"/>
          <w:color w:val="000000"/>
          <w:sz w:val="28"/>
        </w:rPr>
        <w:t>: расходы на организацию свободного времени и культурного проведения досуга граждан пожилого возраста - 135,9 тыс. руб., обеспечение информационного сопровождения мероприятий граждан пожилого возраста - 63,1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397" w:right="0" w:firstLine="283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98,1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397" w:right="0" w:firstLine="283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397" w:right="0" w:firstLine="283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57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8.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«Управление муниципальным имуществом и земельными ресурсами на 2014-2019 годы»</w:t>
      </w:r>
      <w:r>
        <w:rPr>
          <w:rFonts w:cs="Times New Roman" w:ascii="Times New Roman" w:hAnsi="Times New Roman"/>
          <w:color w:val="000000"/>
          <w:sz w:val="28"/>
        </w:rPr>
        <w:t>: проведение оценки рыночной стоимости земельных участков и объектов недвижимости – 73 тыс. рублей, приобретение оборудования, технических средств, комплектующих и компьютерной и оргтехнике, расходных материалов, услуги нотариуса – 194,4 тыс. рублей, проведение технической инвентаризации, кадастровых работ в отношении зданий, строений, помещений и объектов незавершенного строительства, проведение комплексных кадастровых работ - 556,7 тыс. руб., обслуживание программы «БАРС» - 63,3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57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9.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«Дорожное хозяйство Гусь-Хрустального района на 2016-2020 годы»</w:t>
      </w:r>
      <w:r>
        <w:rPr>
          <w:rFonts w:cs="Times New Roman" w:ascii="Times New Roman" w:hAnsi="Times New Roman"/>
          <w:color w:val="000000"/>
          <w:sz w:val="28"/>
        </w:rPr>
        <w:t>: освещение автомобильной дороги «Подъезд к п. Якимец» - 58,5 тыс. руб.; освещение автомобильной дороги «Подъезд к д. Федотово» - 58,5 тыс. руб.; содержание и текущий ремонт автомобильных дорог местного значения в границах муниципальных образований (поселений) района – 32456,3 тыс. руб., текущий ремонт муниципальных автомобильных дорог, в том числе резерв на непредвиденные расходы - 4068,5 тыс. руб., проверка достоверности сметной стоимости объектов - 28 тыс. руб., оказание услуг по установке дорожных знаков и нанесению линий дорожных разметок - 283,8 тыс. руб., выполнение работ по разработке комплексной схемы организации дорожного движения и проекта организации дорожного движения автомобильных дорог - 3173,2 тыс. руб.;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автодорог общего пользования, а также их капитальных ремонт - 3777,9 тыс. руб., осуществление дорожной деятельности в отношении автомобильных дорог общего пользования местного значения - 48741,7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397" w:right="-283" w:firstLine="39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96,9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10.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«Модернизация объектов коммунальной инфраструктуры муниципального образования Гусь-Хрустальный район на 2019-2021 годы»</w:t>
      </w:r>
      <w:r>
        <w:rPr>
          <w:rFonts w:cs="Times New Roman" w:ascii="Times New Roman" w:hAnsi="Times New Roman"/>
          <w:color w:val="000000"/>
          <w:sz w:val="28"/>
        </w:rPr>
        <w:t>: строительство, реконструкция, модернизация, капитальный, текущий ремонт систем водоснабжения и водоотведения - 41084,8 тыс. рублей; межбюджетные трансферты бюджета МО (поселений) - 5293,3 тыс. руб., строительство и реконструкция (модернизация) объектов питьевого водоснабжения (Федеральный проект «Чистая вода» НП «Экология») - 939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52,6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11.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«Развитие образования Гусь-Хрустального района</w:t>
      </w:r>
      <w:r>
        <w:rPr>
          <w:rFonts w:cs="Times New Roman" w:ascii="Times New Roman" w:hAnsi="Times New Roman"/>
          <w:b/>
          <w:sz w:val="28"/>
        </w:rPr>
        <w:t>»</w:t>
      </w:r>
      <w:r>
        <w:rPr>
          <w:rFonts w:cs="Times New Roman" w:ascii="Times New Roman" w:hAnsi="Times New Roman"/>
          <w:sz w:val="28"/>
        </w:rPr>
        <w:t xml:space="preserve">: 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111111"/>
          <w:sz w:val="28"/>
        </w:rPr>
        <w:t>Подпрограмма «Развитие дошкольного образования детей»</w:t>
      </w:r>
      <w:r>
        <w:rPr>
          <w:rFonts w:cs="Times New Roman" w:ascii="Times New Roman" w:hAnsi="Times New Roman"/>
          <w:color w:val="111111"/>
          <w:sz w:val="28"/>
        </w:rPr>
        <w:t xml:space="preserve">: расходы на обеспечение деятельности (оказание услуг) МДОУ - 80952,5 тыс. рублей; финансовое обеспечение мероприятий по организации полноценного и сбалансированного питания воспитанников МДОУ - 4254,3 тыс. рублей; обеспечение информационной открытости образовательных организаций района - 436,9 тыс. рублей; социальная поддержка детей-инвалидов дошкольного возраста - 465 тыс. рублей; приведение условий труда в соответствие с нормативами - 69,4 тыс. руб.; </w:t>
      </w:r>
      <w:bookmarkStart w:id="0" w:name="__DdeLink__236_3644126668"/>
      <w:r>
        <w:rPr>
          <w:rFonts w:cs="Times New Roman" w:ascii="Times New Roman" w:hAnsi="Times New Roman"/>
          <w:color w:val="111111"/>
          <w:sz w:val="28"/>
        </w:rPr>
        <w:t>оснащение медицинского блока отделений организации медицинской помощи несовершеннолетним - 724,2 тыс. руб.</w:t>
      </w:r>
      <w:bookmarkEnd w:id="0"/>
      <w:r>
        <w:rPr>
          <w:rFonts w:cs="Times New Roman" w:ascii="Times New Roman" w:hAnsi="Times New Roman"/>
          <w:color w:val="111111"/>
          <w:sz w:val="28"/>
        </w:rPr>
        <w:t xml:space="preserve">, подготовка муниципальных образовательных организаций к началу учебного года и оздоровительных лагерей к летнему периоду - 4037,1 тыс. руб., финансовое обеспечение мероприятий, связанных с профилактикой и предотвращением коронавирусной инфекции - 288,4 тыс. руб.,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- 5690 тыс. рублей; компенсация расходов на оплату жилых помещений, отопления и освещения отдельным категориям граждан в сфере образования – 3241,5 тыс. рублей. 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57" w:firstLine="794"/>
        <w:jc w:val="both"/>
        <w:rPr/>
      </w:pPr>
      <w:r>
        <w:rPr>
          <w:rFonts w:cs="Times New Roman" w:ascii="Times New Roman" w:hAnsi="Times New Roman"/>
          <w:b/>
          <w:sz w:val="28"/>
        </w:rPr>
        <w:t>Подпрограмма «Развитие общего и дополнительного образования детей»</w:t>
      </w:r>
      <w:r>
        <w:rPr>
          <w:rFonts w:cs="Times New Roman" w:ascii="Times New Roman" w:hAnsi="Times New Roman"/>
          <w:sz w:val="28"/>
        </w:rPr>
        <w:t>: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</w:t>
      </w:r>
      <w:r>
        <w:rPr>
          <w:rFonts w:cs="Times New Roman" w:ascii="Times New Roman" w:hAnsi="Times New Roman"/>
          <w:color w:val="000000"/>
          <w:sz w:val="28"/>
        </w:rPr>
        <w:t>ования детей в муниципальных общеобразовательных организациях - 365928,5 тыс. руб.; расходы на обеспечение деятельности (оказание услуг) МБУДО «Центр дополнительного образования детей» - 11774,6 тыс. руб.; расходы на обеспечение деятельности (оказание услуг) МОУ - 125210 тыс. руб.; приведение условий труда в соответствие с государственными нормативами - 64,8 тыс. руб.; финансовое обеспечение мероприятий по организации питания учащихся МОУ - 8103,1 тыс. руб.; обеспечение информационной открытости образовательных организаций района - 1006,2 тыс. руб.; поддержка приоритетных направлений развития отрасли образования - 6458,8 тыс. руб., грантовая поддержка организаций в сфере образования - 550 тыс. руб.; организация дистанционного образования детей-инвалидов - 43,3 тыс. руб., разработка ПСД для строительства объекта: «Общеобразовательная школа с дошкольными группами на 144 места в д. Вашутино» - 2396 тыс. руб., оснащение здания школы д.Купреево - 1047,5 тыс. руб.; ежемесячное денежное вознаграждение за классное руководство - 6800,5 тыс. руб., приобретение транспортных средств для подвоза обучающихся - 6624 тыс. руб.,  оснащение медицинского блока отделений организации медицинской помощи несовершеннолетним - 609,2 тыс. руб., подготовка образовательных организаций к началу учебного года и оздоровительных лагерей к летнему периоду - 14123,9 тыс. руб., финансовое обеспечение мероприятий по борьбе с коронавирусной инфекцией - 1733,5 тыс. руб., оснащение пунктов проведения экзаменов системами видеонаблюдения - 404,9 тыс. руб., реализация дополнительных образовательных программ - 351,5 тыс. руб.; поддержка талантливой молодежи - 57,9 тыс. руб., предоставление мер социальной поддержки молодым специалистам - 78,1 тыс. руб.; компенсация расходов за наем (поднаем) жилых помещений отдельным категориям работников образования - 44,4 тыс. руб., компенсация расходов на оплату жилых помещений, отопления и освещения работникам образования - 20043,1 тыс. руб., организация временной занятости несовершеннолетних граждан в свободное от учебы время - 506,1 тыс. руб.. проведение и участие в мероприятиях областного и местного значения - 47,4 тыс. руб., независимая оценка качества условий осуществления образовательной деятельности организаций района - 9,1 тыс. руб., строительство здания школы в д.Купреево (реализация Федерального проекта «Современная школа» национального проекта «Образование») - 113734,6 тыс. руб., создание условий для занятий физической культурой и спортом («Федеральный проект «Успех каждого ребенка» национального проекта «Образование» - 3806,8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«Комплексная безопасность образовательных организаций района»</w:t>
      </w:r>
      <w:r>
        <w:rPr>
          <w:rFonts w:cs="Times New Roman" w:ascii="Times New Roman" w:hAnsi="Times New Roman"/>
          <w:color w:val="000000"/>
          <w:sz w:val="28"/>
        </w:rPr>
        <w:t>: укрепление материально-технической базы образовательных организаций района для обеспечения комплексной безопасности обучающихся, воспитанников и работников во время трудовой и учебной деятельности - 4054,1 тыс. руб.; развитие инфраструктуры образовательных организаций района с целью обеспечения выполнения требований к санитарно-бытовым условиям - 27571,2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«Обеспечение защиты прав и интересов детей-сирот и детей, оставшихся без попечения родителей»</w:t>
      </w:r>
      <w:r>
        <w:rPr>
          <w:rFonts w:cs="Times New Roman" w:ascii="Times New Roman" w:hAnsi="Times New Roman"/>
          <w:color w:val="000000"/>
          <w:sz w:val="28"/>
        </w:rPr>
        <w:t>: организация и осуществление деятельности по опеке и попечительству в отношении несовершеннолетних граждан – 1499,6 тыс. руб.; государственное обеспечение и социальная поддержка детей-сирот и детей, оставшихся без попечения родителей – 31201,9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«Обеспечение реализации муниципальной программы «Развитие образования Гусь-Хрустального района на 2016-2021 годы»</w:t>
      </w:r>
      <w:r>
        <w:rPr>
          <w:rFonts w:cs="Times New Roman" w:ascii="Times New Roman" w:hAnsi="Times New Roman"/>
          <w:color w:val="000000"/>
          <w:sz w:val="28"/>
        </w:rPr>
        <w:t>: организация и осуществление деятельности по учебно-методическому, информационно-правовому и бухгалтерскому сопровождению деятельности муниципальных образовательных организаций – 114594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97,4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57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12.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Гусь-Хрустального района на 2019-2023 годы»</w:t>
      </w:r>
      <w:r>
        <w:rPr>
          <w:rFonts w:cs="Times New Roman" w:ascii="Times New Roman" w:hAnsi="Times New Roman"/>
          <w:color w:val="000000"/>
          <w:sz w:val="28"/>
        </w:rPr>
        <w:t>: организация деятельности МКУ «Отдел по делам ГО ЧС и ОБ» - 8736,2 тыс. рублей; выполнение комплекса противопожарных мероприятий - 484,2 тыс. руб., обеспечение безопасности людей на водных объектах - 316,1 тыс. рублей, развитие и совершенствование технической оснащенности, сил и средств для ликвидации ЧС - 41 тыс. руб.; абонентская плата за пользование каналами связи VPN связи - 652,5 тыс. руб.; содержание и обслуживание комплексной системы экстренного оповещения населения и системы ТАСЦО - 2367,9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98,2</w:t>
      </w: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</w:rPr>
        <w:t>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13.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«Развитие потенциала молодежи на территории Гусь-Хрустального района на 2016-2022 годы»</w:t>
      </w:r>
      <w:r>
        <w:rPr>
          <w:rFonts w:cs="Times New Roman" w:ascii="Times New Roman" w:hAnsi="Times New Roman"/>
          <w:color w:val="000000"/>
          <w:sz w:val="28"/>
        </w:rPr>
        <w:t xml:space="preserve">: 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«Социально-экономическая поддержка студентов, обучающихся в государственных учреждениях высшего профессионального образования по очной форме обучения, поступивших по целевому направлению, проживающих на территории Гусь-Хрустального района»</w:t>
      </w:r>
      <w:r>
        <w:rPr>
          <w:rFonts w:cs="Times New Roman" w:ascii="Times New Roman" w:hAnsi="Times New Roman"/>
          <w:color w:val="000000"/>
          <w:sz w:val="28"/>
        </w:rPr>
        <w:t>: расходы по поддержке студентов, обучающихся в государственных учреждениях высшего профессионального образования по очной форме обучения, поступивших по целевому обучению – 54,9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«Развитие потенциала молодежи на территории района»</w:t>
      </w:r>
      <w:r>
        <w:rPr>
          <w:rFonts w:cs="Times New Roman" w:ascii="Times New Roman" w:hAnsi="Times New Roman"/>
          <w:color w:val="000000"/>
          <w:sz w:val="28"/>
        </w:rPr>
        <w:t>: персональные стипендии администрации района «Надежда Хрустального края» для одаренных и талантливых детей и молодежи в области культуры, образования, журналистики, спорта, развития детского и молодежного общественного движения – 37 тыс. руб., расходы на реализацию мероприятий по формированию патриотического воспитания молодежи - 70,8 тыс. руб., реализация проектов-победителей конкурсов в сфере молодежной политики - 15 тыс. руб.; строительство и оборудование спортивных площадок для занятия уличными видами спорта - 600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99,1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14.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«Обеспечение доступным и комфортным жильем населения Гусь-Хрустального района на 2014-2020 годы»</w:t>
      </w:r>
      <w:r>
        <w:rPr>
          <w:rFonts w:cs="Times New Roman" w:ascii="Times New Roman" w:hAnsi="Times New Roman"/>
          <w:color w:val="000000"/>
          <w:sz w:val="28"/>
        </w:rPr>
        <w:t>: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 xml:space="preserve">Подпрограмма «Обеспечение территорий документацией для осуществления градостроительной деятельности» </w:t>
      </w:r>
      <w:r>
        <w:rPr>
          <w:rFonts w:cs="Times New Roman" w:ascii="Times New Roman" w:hAnsi="Times New Roman"/>
          <w:color w:val="000000"/>
          <w:sz w:val="28"/>
        </w:rPr>
        <w:t>обеспечение территорий документацией для осуществления градостроительной деятельности - 2750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«Обеспечение жильем молодых семей Гусь-Хрустального района»</w:t>
      </w:r>
      <w:r>
        <w:rPr>
          <w:rFonts w:cs="Times New Roman" w:ascii="Times New Roman" w:hAnsi="Times New Roman"/>
          <w:color w:val="000000"/>
          <w:sz w:val="28"/>
        </w:rPr>
        <w:t xml:space="preserve"> реализация мероприятий по обеспечению жильем молодых семей — 5484,6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«Обеспечение жильем многодетных семей Гусь-Хрустального района»</w:t>
      </w:r>
      <w:r>
        <w:rPr>
          <w:rFonts w:cs="Times New Roman" w:ascii="Times New Roman" w:hAnsi="Times New Roman"/>
          <w:color w:val="000000"/>
          <w:sz w:val="28"/>
        </w:rPr>
        <w:t>: обеспечение жильем многодетных семей - 693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15.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«Профилактика правонарушений, терроризма, экстремизма и противодействие незаконному обороту наркотических средств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</w:rPr>
        <w:t>: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bookmarkStart w:id="1" w:name="__DdeLink__282_1817991825"/>
      <w:r>
        <w:rPr>
          <w:rFonts w:cs="Times New Roman" w:ascii="Times New Roman" w:hAnsi="Times New Roman"/>
          <w:b/>
          <w:color w:val="000000"/>
          <w:sz w:val="28"/>
        </w:rPr>
        <w:t>Подпрограмма «Обеспечение общественного порядка и профилактики правонарушений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</w:rPr>
        <w:t xml:space="preserve">: приобретение оборудования и инвентаря для работы в оздоровительных лагерях -20 тыс. руб., организация и проведение «Президентских спортивных игр» - 15 тыс. руб., проведение районных туристических слетов и экспедиций учащихся - 40 тыс. руб.; приобретение необходимого оборудования и инвентаря для творческих объединений - 20 тыс. руб.; создание и оборудование консультативных кабинетов для оказания социально-психологической помощи семьям - 20 тыс. руб., техническое оснащение и программное обеспечение публичных центров правовой информации на базе библиотек - </w:t>
      </w:r>
      <w:bookmarkEnd w:id="1"/>
      <w:r>
        <w:rPr>
          <w:rFonts w:cs="Times New Roman" w:ascii="Times New Roman" w:hAnsi="Times New Roman"/>
          <w:color w:val="000000"/>
          <w:sz w:val="28"/>
        </w:rPr>
        <w:t>30 тыс. руб., организация подписки на периодические издания правовой тематики - 30 тыс. руб.; реализация мер по созданию народных дружин - 40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Подпрограмма «Профилактика терроризма и экстремизма в Гусь-Хрустальном районе на 2019-2022 годы»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</w:rPr>
        <w:t xml:space="preserve">изготовление информационно-справочных материалов по профилактике терроризма и экстремизма - 15 тыс. руб.; </w:t>
      </w: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</w:rPr>
        <w:t>установка систем контроля доступа в образовательных организациях Гусь-Хрустального района - 400 тыс. рублей.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</w:rPr>
        <w:t>Подпрограмма «Противодействие злоупотреблению наркотиками и их незаконному обороту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</w:rPr>
        <w:t>: приобретение литературы антинаркотической направленности, оформление подписки на издания по профилактике наркомании и пропаганде ЗОЖ - 30 тыс. руб., укрепление материально-технической базы кабинетов психологов и социальных педагогов - 50 тыс. руб.;  проведение обучающих семинаров для специалистов, работающих с детьми по вопросам профилактики употребления ПАВ - 20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16.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«Ведение информационной системы обеспечения градостроительной деятельности на территории муниципального образования Гусь-Хрустальный район на 2017-2020 годы»</w:t>
      </w:r>
      <w:r>
        <w:rPr>
          <w:rFonts w:cs="Times New Roman" w:ascii="Times New Roman" w:hAnsi="Times New Roman"/>
          <w:color w:val="000000"/>
          <w:sz w:val="28"/>
        </w:rPr>
        <w:t>: сопровождение программно технологического комплекса «СОТО» - 145 тыс. руб., приобретение лицензионного программного обеспечения - 22,2 тыс. руб.; расходы на обеспечение реализации программы - 70,7 тыс. руб., модернизация парка компьютерного оборудования - 15,1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850"/>
        <w:jc w:val="both"/>
        <w:rPr/>
      </w:pPr>
      <w:bookmarkStart w:id="2" w:name="__DdeLink__312_1969230606"/>
      <w:r>
        <w:rPr>
          <w:rFonts w:cs="Times New Roman" w:ascii="Times New Roman" w:hAnsi="Times New Roman"/>
          <w:color w:val="000000"/>
          <w:sz w:val="28"/>
        </w:rPr>
        <w:t xml:space="preserve">17.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«Обеспечение экологической безопасности и качества окружающей среды на 2018-2021 годы»</w:t>
      </w:r>
      <w:r>
        <w:rPr>
          <w:rFonts w:cs="Times New Roman" w:ascii="Times New Roman" w:hAnsi="Times New Roman"/>
          <w:color w:val="000000"/>
          <w:sz w:val="28"/>
        </w:rPr>
        <w:t>: выполнение работ по рекультивации свалки в г.Курлово - 10,12 тыс. руб., ремонт существующих и обустройство новых контейнерных площадок, на территории района - 3103,5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  <w:bookmarkEnd w:id="2"/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18.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«Обеспечение безопасности дорожного движения в Гусь-Хрустальном районе в 2013-2020 годах»</w:t>
      </w:r>
      <w:r>
        <w:rPr>
          <w:rFonts w:cs="Times New Roman" w:ascii="Times New Roman" w:hAnsi="Times New Roman"/>
          <w:color w:val="000000"/>
          <w:sz w:val="28"/>
        </w:rPr>
        <w:t>: проведение в ОУ конкурсов и слетов в целях профилактики аварийности и детского ДТТ - 25 тыс. руб.; изготовление и распространение светоотражающих приспособлений в среде дошкольников и учащихся младших классов - 50 тыс. руб., проведение воспитательной работы в ОУ района по профилактике дорожного травматизма - 20 тыс. руб., проведение во время летних каникул профилактических мероприятий по предупреждению нарушений ПДД - 10 тыс. руб.; приобретение для образовательных организаций оборудования, позволяющего в игровой форме формировать навыки безопасного поведения на дороге - 164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</w:rPr>
        <w:t>100</w:t>
      </w:r>
      <w:r>
        <w:rPr>
          <w:rFonts w:cs="Times New Roman" w:ascii="Times New Roman" w:hAnsi="Times New Roman"/>
          <w:b/>
          <w:color w:val="000000"/>
          <w:sz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</w:rPr>
        <w:t>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bookmarkStart w:id="3" w:name="__DdeLink__499_3919077743"/>
      <w:r>
        <w:rPr>
          <w:rFonts w:cs="Times New Roman" w:ascii="Times New Roman" w:hAnsi="Times New Roman"/>
          <w:color w:val="000000"/>
          <w:sz w:val="28"/>
        </w:rPr>
        <w:t xml:space="preserve">19.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«Эксплуатация гидротехнического сооружения гидроузла на реке Гусь у д. Тименка Гусь-Хрустального района на 2016-2021 годы»</w:t>
      </w:r>
      <w:r>
        <w:rPr>
          <w:rFonts w:cs="Times New Roman" w:ascii="Times New Roman" w:hAnsi="Times New Roman"/>
          <w:color w:val="000000"/>
          <w:sz w:val="28"/>
        </w:rPr>
        <w:t>: страхование ГТС - 23,2 тыс. руб.; текущий ремонт гидроузла на реке Гусь у д. Тименка - 72,2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>Процент исполнения от годового планового назначения – 100</w:t>
      </w: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 %.</w:t>
      </w:r>
      <w:bookmarkEnd w:id="3"/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</w:rPr>
        <w:t xml:space="preserve">20.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</w:rPr>
        <w:t>«Формирование доступной среды жизнедеятельности для инвалидов на территории муниципального образования Гусь-Хрустальный район на 2016-2020 годы»</w:t>
      </w:r>
      <w:r>
        <w:rPr>
          <w:rFonts w:cs="Times New Roman" w:ascii="Times New Roman" w:hAnsi="Times New Roman"/>
          <w:color w:val="000000"/>
          <w:sz w:val="28"/>
        </w:rPr>
        <w:t>:устройство пандусов к общественным зданиям - 99,9 тыс. руб.; проведение мероприятий для людей с ограниченными возможностями - 30 тыс. руб.; организационно-методическое сопровождение мероприятий программы - 70,5 тыс. рублей.</w:t>
      </w:r>
    </w:p>
    <w:p>
      <w:pPr>
        <w:pStyle w:val="Normal1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-283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</w:rPr>
        <w:t>Процент исполнения от годового планового назначения</w:t>
      </w:r>
      <w:r>
        <w:rPr>
          <w:rFonts w:cs="Times New Roman" w:ascii="Times New Roman" w:hAnsi="Times New Roman"/>
          <w:b/>
          <w:bCs/>
          <w:color w:val="000000"/>
          <w:sz w:val="28"/>
        </w:rPr>
        <w:t xml:space="preserve"> – 100 %.</w:t>
      </w:r>
    </w:p>
    <w:p>
      <w:pPr>
        <w:pStyle w:val="ListParagraph"/>
        <w:widowControl/>
        <w:tabs>
          <w:tab w:val="clear" w:pos="720"/>
          <w:tab w:val="left" w:pos="1134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</w:rPr>
        <w:t>Таким образом, по результатам реализации программ за</w:t>
      </w:r>
      <w:r>
        <w:rPr>
          <w:rFonts w:cs="Times New Roman" w:ascii="Times New Roman" w:hAnsi="Times New Roman"/>
          <w:color w:val="000000"/>
          <w:sz w:val="28"/>
        </w:rPr>
        <w:t xml:space="preserve"> 2020 год выполнение мероприятий 12 муниципальных программ составило 100 %, среднее значение выполнения мероприятий 7 муниципальных программ составило от 86,6 до 99,9 %. Выполнение мероприятий 1 муниципальной программы составило 52,6 %. Выполнение мероприятий 5 муниципальных программ с расходованием денежных средств в 2020 году не было запланировано.</w:t>
      </w:r>
    </w:p>
    <w:p>
      <w:pPr>
        <w:pStyle w:val="ListParagraph"/>
        <w:tabs>
          <w:tab w:val="clear" w:pos="720"/>
          <w:tab w:val="left" w:pos="1134" w:leader="none"/>
        </w:tabs>
        <w:spacing w:lineRule="auto" w:line="240" w:before="0" w:after="0"/>
        <w:ind w:left="720" w:right="-283" w:hanging="0"/>
        <w:jc w:val="both"/>
        <w:rPr/>
      </w:pPr>
      <w:r>
        <w:rPr/>
      </w:r>
    </w:p>
    <w:sectPr>
      <w:type w:val="nextPage"/>
      <w:pgSz w:w="11906" w:h="16838"/>
      <w:pgMar w:left="1680" w:right="641" w:header="0" w:top="850" w:footer="0" w:bottom="85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Droid Sans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Droid Sans Fallback" w:cs="Calibri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Style16"/>
    <w:qFormat/>
    <w:pPr>
      <w:spacing w:before="440" w:after="60"/>
    </w:pPr>
    <w:rPr>
      <w:rFonts w:ascii="Arial" w:hAnsi="Arial" w:cs="Arial"/>
      <w:b/>
      <w:sz w:val="34"/>
    </w:rPr>
  </w:style>
  <w:style w:type="paragraph" w:styleId="2">
    <w:name w:val="Heading 2"/>
    <w:basedOn w:val="Style16"/>
    <w:qFormat/>
    <w:pPr>
      <w:spacing w:before="440" w:after="60"/>
    </w:pPr>
    <w:rPr>
      <w:rFonts w:ascii="Arial" w:hAnsi="Arial" w:cs="Arial"/>
      <w:b/>
      <w:sz w:val="28"/>
    </w:rPr>
  </w:style>
  <w:style w:type="paragraph" w:styleId="3">
    <w:name w:val="Heading 3"/>
    <w:basedOn w:val="Style16"/>
    <w:qFormat/>
    <w:pPr>
      <w:spacing w:before="440" w:after="60"/>
    </w:pPr>
    <w:rPr>
      <w:rFonts w:ascii="Arial" w:hAnsi="Arial" w:cs="Arial"/>
      <w:b/>
      <w:sz w:val="24"/>
    </w:rPr>
  </w:style>
  <w:style w:type="paragraph" w:styleId="4">
    <w:name w:val="Heading 4"/>
    <w:basedOn w:val="Style16"/>
    <w:qFormat/>
    <w:pPr>
      <w:spacing w:before="440" w:after="60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EndnoteCharacters">
    <w:name w:val="Endnote Characters"/>
    <w:qFormat/>
    <w:rPr>
      <w:sz w:val="20"/>
      <w:vertAlign w:val="superscript"/>
    </w:rPr>
  </w:style>
  <w:style w:type="character" w:styleId="Style10">
    <w:name w:val="Привязка концевой сноски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Style11">
    <w:name w:val="Привязка сноски"/>
    <w:rPr>
      <w:sz w:val="20"/>
      <w:vertAlign w:val="superscript"/>
    </w:rPr>
  </w:style>
  <w:style w:type="character" w:styleId="ListLabel1">
    <w:name w:val="ListLabel 1"/>
    <w:qFormat/>
    <w:rPr/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rFonts w:ascii="Times New Roman" w:hAnsi="Times New Roman" w:cs="Times New Roman"/>
      <w:sz w:val="28"/>
    </w:rPr>
  </w:style>
  <w:style w:type="character" w:styleId="ListLabel12">
    <w:name w:val="ListLabel 12"/>
    <w:qFormat/>
    <w:rPr>
      <w:rFonts w:ascii="Times New Roman" w:hAnsi="Times New Roman" w:cs="Times New Roman"/>
      <w:sz w:val="28"/>
    </w:rPr>
  </w:style>
  <w:style w:type="character" w:styleId="ListLabel13">
    <w:name w:val="ListLabel 13"/>
    <w:qFormat/>
    <w:rPr>
      <w:rFonts w:ascii="Symbol" w:hAnsi="Symbol" w:cs="Symbol"/>
      <w:sz w:val="28"/>
    </w:rPr>
  </w:style>
  <w:style w:type="character" w:styleId="ListLabel14">
    <w:name w:val="ListLabel 14"/>
    <w:qFormat/>
    <w:rPr>
      <w:rFonts w:ascii="Symbol" w:hAnsi="Symbol" w:cs="Symbol"/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rFonts w:ascii="Times New Roman" w:hAnsi="Times New Roman" w:cs="Times New Roman"/>
      <w:sz w:val="28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ascii="Times New Roman" w:hAnsi="Times New Roman" w:cs="Times New Roman"/>
      <w:sz w:val="28"/>
    </w:rPr>
  </w:style>
  <w:style w:type="character" w:styleId="ListLabel7">
    <w:name w:val="ListLabel 7"/>
    <w:qFormat/>
    <w:rPr>
      <w:rFonts w:ascii="Times New Roman" w:hAnsi="Times New Roman" w:cs="Times New Roman"/>
      <w:sz w:val="28"/>
    </w:rPr>
  </w:style>
  <w:style w:type="character" w:styleId="ListLabel8">
    <w:name w:val="ListLabel 8"/>
    <w:qFormat/>
    <w:rPr>
      <w:rFonts w:ascii="Times New Roman" w:hAnsi="Times New Roman" w:cs="Times New Roman"/>
      <w:sz w:val="28"/>
    </w:rPr>
  </w:style>
  <w:style w:type="character" w:styleId="ListLabel9">
    <w:name w:val="ListLabel 9"/>
    <w:qFormat/>
    <w:rPr>
      <w:rFonts w:ascii="Times New Roman" w:hAnsi="Times New Roman" w:cs="Times New Roman"/>
      <w:sz w:val="28"/>
    </w:rPr>
  </w:style>
  <w:style w:type="character" w:styleId="WW8Num1z0">
    <w:name w:val="WW8Num1z0"/>
    <w:qFormat/>
    <w:rPr>
      <w:rFonts w:ascii="Times New Roman" w:hAnsi="Times New Roman" w:cs="Times New Roman"/>
      <w:sz w:val="28"/>
    </w:rPr>
  </w:style>
  <w:style w:type="character" w:styleId="WW8Num1z1">
    <w:name w:val="WW8Num1z1"/>
    <w:qFormat/>
    <w:rPr>
      <w:rFonts w:ascii="Times New Roman" w:hAnsi="Times New Roman" w:cs="Times New Roman"/>
      <w:sz w:val="28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8"/>
    </w:rPr>
  </w:style>
  <w:style w:type="character" w:styleId="WW8Num2z1">
    <w:name w:val="WW8Num2z1"/>
    <w:qFormat/>
    <w:rPr>
      <w:rFonts w:ascii="Times New Roman" w:hAnsi="Times New Roman" w:cs="Courier New"/>
      <w:sz w:val="28"/>
      <w:szCs w:val="28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Linenumber">
    <w:name w:val="line number"/>
    <w:basedOn w:val="DefaultParagraphFont"/>
    <w:qFormat/>
    <w:rPr/>
  </w:style>
  <w:style w:type="character" w:styleId="Style12">
    <w:name w:val="Верхний колонтитул Знак"/>
    <w:basedOn w:val="DefaultParagraphFont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Маркеры списка"/>
    <w:qFormat/>
    <w:rPr>
      <w:rFonts w:ascii="OpenSymbol" w:hAnsi="OpenSymbol" w:cs="OpenSymbol"/>
    </w:rPr>
  </w:style>
  <w:style w:type="character" w:styleId="Style15">
    <w:name w:val="Нижний колонтитул Знак"/>
    <w:basedOn w:val="DefaultParagraphFont"/>
    <w:qFormat/>
    <w:rPr/>
  </w:style>
  <w:style w:type="character" w:styleId="ListLabel15">
    <w:name w:val="ListLabel 15"/>
    <w:qFormat/>
    <w:rPr>
      <w:rFonts w:cs="Symbol"/>
      <w:sz w:val="28"/>
    </w:rPr>
  </w:style>
  <w:style w:type="character" w:styleId="ListLabel16">
    <w:name w:val="ListLabel 16"/>
    <w:qFormat/>
    <w:rPr>
      <w:rFonts w:cs="Courier New"/>
      <w:sz w:val="28"/>
      <w:szCs w:val="28"/>
    </w:rPr>
  </w:style>
  <w:style w:type="character" w:styleId="ListLabel17">
    <w:name w:val="ListLabel 17"/>
    <w:qFormat/>
    <w:rPr>
      <w:rFonts w:cs="Courier New"/>
      <w:sz w:val="28"/>
      <w:szCs w:val="28"/>
    </w:rPr>
  </w:style>
  <w:style w:type="character" w:styleId="ListLabel18">
    <w:name w:val="ListLabel 18"/>
    <w:qFormat/>
    <w:rPr>
      <w:rFonts w:cs="Courier New"/>
      <w:sz w:val="28"/>
      <w:szCs w:val="28"/>
    </w:rPr>
  </w:style>
  <w:style w:type="character" w:styleId="ListLabel19">
    <w:name w:val="ListLabel 19"/>
    <w:qFormat/>
    <w:rPr>
      <w:rFonts w:cs="Courier New"/>
      <w:sz w:val="28"/>
      <w:szCs w:val="28"/>
    </w:rPr>
  </w:style>
  <w:style w:type="character" w:styleId="ListLabel20">
    <w:name w:val="ListLabel 20"/>
    <w:qFormat/>
    <w:rPr>
      <w:rFonts w:cs="Courier New"/>
      <w:sz w:val="28"/>
      <w:szCs w:val="28"/>
    </w:rPr>
  </w:style>
  <w:style w:type="character" w:styleId="ListLabel21">
    <w:name w:val="ListLabel 21"/>
    <w:qFormat/>
    <w:rPr>
      <w:rFonts w:cs="Courier New"/>
      <w:sz w:val="28"/>
      <w:szCs w:val="28"/>
    </w:rPr>
  </w:style>
  <w:style w:type="character" w:styleId="ListLabel22">
    <w:name w:val="ListLabel 22"/>
    <w:qFormat/>
    <w:rPr>
      <w:rFonts w:cs="Courier New"/>
      <w:sz w:val="28"/>
      <w:szCs w:val="28"/>
    </w:rPr>
  </w:style>
  <w:style w:type="character" w:styleId="ListLabel23">
    <w:name w:val="ListLabel 23"/>
    <w:qFormat/>
    <w:rPr>
      <w:rFonts w:cs="Courier New"/>
      <w:sz w:val="28"/>
      <w:szCs w:val="28"/>
    </w:rPr>
  </w:style>
  <w:style w:type="character" w:styleId="ListLabel24">
    <w:name w:val="ListLabel 24"/>
    <w:qFormat/>
    <w:rPr>
      <w:rFonts w:cs="Symbol"/>
      <w:sz w:val="28"/>
    </w:rPr>
  </w:style>
  <w:style w:type="character" w:styleId="ListLabel25">
    <w:name w:val="ListLabel 25"/>
    <w:qFormat/>
    <w:rPr>
      <w:rFonts w:cs="Times New Roman"/>
      <w:sz w:val="28"/>
    </w:rPr>
  </w:style>
  <w:style w:type="character" w:styleId="ListLabel26">
    <w:name w:val="ListLabel 26"/>
    <w:qFormat/>
    <w:rPr>
      <w:rFonts w:cs="Symbol"/>
      <w:sz w:val="28"/>
    </w:rPr>
  </w:style>
  <w:style w:type="character" w:styleId="ListLabel27">
    <w:name w:val="ListLabel 27"/>
    <w:qFormat/>
    <w:rPr>
      <w:rFonts w:cs="Courier New"/>
      <w:sz w:val="28"/>
      <w:szCs w:val="28"/>
    </w:rPr>
  </w:style>
  <w:style w:type="character" w:styleId="ListLabel28">
    <w:name w:val="ListLabel 28"/>
    <w:qFormat/>
    <w:rPr>
      <w:rFonts w:cs="Courier New"/>
      <w:sz w:val="28"/>
      <w:szCs w:val="28"/>
    </w:rPr>
  </w:style>
  <w:style w:type="character" w:styleId="ListLabel29">
    <w:name w:val="ListLabel 29"/>
    <w:qFormat/>
    <w:rPr>
      <w:rFonts w:cs="Courier New"/>
      <w:sz w:val="28"/>
      <w:szCs w:val="28"/>
    </w:rPr>
  </w:style>
  <w:style w:type="character" w:styleId="ListLabel30">
    <w:name w:val="ListLabel 30"/>
    <w:qFormat/>
    <w:rPr>
      <w:rFonts w:cs="Courier New"/>
      <w:sz w:val="28"/>
      <w:szCs w:val="28"/>
    </w:rPr>
  </w:style>
  <w:style w:type="character" w:styleId="ListLabel31">
    <w:name w:val="ListLabel 31"/>
    <w:qFormat/>
    <w:rPr>
      <w:rFonts w:cs="Courier New"/>
      <w:sz w:val="28"/>
      <w:szCs w:val="28"/>
    </w:rPr>
  </w:style>
  <w:style w:type="character" w:styleId="ListLabel32">
    <w:name w:val="ListLabel 32"/>
    <w:qFormat/>
    <w:rPr>
      <w:rFonts w:cs="Courier New"/>
      <w:sz w:val="28"/>
      <w:szCs w:val="28"/>
    </w:rPr>
  </w:style>
  <w:style w:type="character" w:styleId="ListLabel33">
    <w:name w:val="ListLabel 33"/>
    <w:qFormat/>
    <w:rPr>
      <w:rFonts w:cs="Courier New"/>
      <w:sz w:val="28"/>
      <w:szCs w:val="28"/>
    </w:rPr>
  </w:style>
  <w:style w:type="character" w:styleId="ListLabel34">
    <w:name w:val="ListLabel 34"/>
    <w:qFormat/>
    <w:rPr>
      <w:rFonts w:cs="Courier New"/>
      <w:sz w:val="28"/>
      <w:szCs w:val="28"/>
    </w:rPr>
  </w:style>
  <w:style w:type="character" w:styleId="ListLabel35">
    <w:name w:val="ListLabel 35"/>
    <w:qFormat/>
    <w:rPr>
      <w:rFonts w:cs="Symbol"/>
      <w:sz w:val="28"/>
    </w:rPr>
  </w:style>
  <w:style w:type="character" w:styleId="ListLabel36">
    <w:name w:val="ListLabel 36"/>
    <w:qFormat/>
    <w:rPr>
      <w:rFonts w:cs="Times New Roman"/>
      <w:sz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paragraph" w:styleId="Style16">
    <w:name w:val="Заголовок"/>
    <w:next w:val="Style17"/>
    <w:qFormat/>
    <w:pPr>
      <w:widowControl/>
      <w:bidi w:val="0"/>
      <w:spacing w:before="240" w:after="120"/>
      <w:jc w:val="left"/>
    </w:pPr>
    <w:rPr>
      <w:rFonts w:ascii="Arial" w:hAnsi="Arial" w:eastAsia="Droid Sans Fallback" w:cs="Arial"/>
      <w:color w:val="000000"/>
      <w:kern w:val="0"/>
      <w:sz w:val="28"/>
      <w:szCs w:val="20"/>
      <w:lang w:val="ru-RU" w:eastAsia="zh-CN" w:bidi="hi-IN"/>
    </w:rPr>
  </w:style>
  <w:style w:type="paragraph" w:styleId="Style17">
    <w:name w:val="Body Text"/>
    <w:basedOn w:val="Normal"/>
    <w:pPr>
      <w:spacing w:lineRule="auto" w:line="288" w:before="0" w:after="140"/>
      <w:jc w:val="left"/>
    </w:pPr>
    <w:rPr>
      <w:rFonts w:ascii="Calibri" w:hAnsi="Calibri" w:cs="Calibri"/>
      <w:color w:val="000000"/>
      <w:sz w:val="20"/>
    </w:rPr>
  </w:style>
  <w:style w:type="paragraph" w:styleId="Style18">
    <w:name w:val="List"/>
    <w:basedOn w:val="Style17"/>
    <w:pPr/>
    <w:rPr>
      <w:rFonts w:ascii="Droid Sans Devanagari" w:hAnsi="Droid Sans Devanagari" w:cs="Droid Sans Devanagari"/>
    </w:rPr>
  </w:style>
  <w:style w:type="paragraph" w:styleId="Style19">
    <w:name w:val="Caption"/>
    <w:basedOn w:val="Normal"/>
    <w:qFormat/>
    <w:pPr>
      <w:spacing w:before="120" w:after="120"/>
      <w:jc w:val="left"/>
    </w:pPr>
    <w:rPr>
      <w:rFonts w:ascii="Droid Sans Devanagari" w:hAnsi="Droid Sans Devanagari" w:cs="Droid Sans Devanagari"/>
      <w:i/>
      <w:color w:val="000000"/>
      <w:sz w:val="24"/>
    </w:rPr>
  </w:style>
  <w:style w:type="paragraph" w:styleId="Style20">
    <w:name w:val="Указатель"/>
    <w:qFormat/>
    <w:pPr>
      <w:widowControl/>
      <w:bidi w:val="0"/>
      <w:jc w:val="left"/>
    </w:pPr>
    <w:rPr>
      <w:rFonts w:ascii="Droid Sans Devanagari" w:hAnsi="Droid Sans Devanagari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ArrowheadList">
    <w:name w:val="Arrowhead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BlockText">
    <w:name w:val="Block Text"/>
    <w:qFormat/>
    <w:pPr>
      <w:widowControl/>
      <w:bidi w:val="0"/>
      <w:spacing w:before="0" w:after="120"/>
      <w:ind w:left="1440" w:right="1440" w:hanging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BoxList">
    <w:name w:val="Box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BulletList">
    <w:name w:val="Bullet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ChapterHeading">
    <w:name w:val="Chapter Heading"/>
    <w:basedOn w:val="NumberedHeading1"/>
    <w:qFormat/>
    <w:pPr>
      <w:ind w:hanging="0"/>
    </w:pPr>
    <w:rPr/>
  </w:style>
  <w:style w:type="paragraph" w:styleId="Contents1">
    <w:name w:val="Contents 1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Contents2">
    <w:name w:val="Contents 2"/>
    <w:qFormat/>
    <w:pPr>
      <w:widowControl/>
      <w:bidi w:val="0"/>
      <w:ind w:left="144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Contents3">
    <w:name w:val="Contents 3"/>
    <w:qFormat/>
    <w:pPr>
      <w:widowControl/>
      <w:bidi w:val="0"/>
      <w:ind w:left="216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Contents4">
    <w:name w:val="Contents 4"/>
    <w:qFormat/>
    <w:pPr>
      <w:widowControl/>
      <w:bidi w:val="0"/>
      <w:ind w:left="288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ContentsHeader">
    <w:name w:val="Contents Header"/>
    <w:qFormat/>
    <w:pPr>
      <w:widowControl/>
      <w:bidi w:val="0"/>
      <w:spacing w:before="240" w:after="120"/>
      <w:jc w:val="center"/>
    </w:pPr>
    <w:rPr>
      <w:rFonts w:ascii="Arial" w:hAnsi="Arial" w:eastAsia="Droid Sans Fallback" w:cs="Arial"/>
      <w:b/>
      <w:color w:val="000000"/>
      <w:kern w:val="0"/>
      <w:sz w:val="32"/>
      <w:szCs w:val="20"/>
      <w:lang w:val="ru-RU" w:eastAsia="zh-CN" w:bidi="hi-IN"/>
    </w:rPr>
  </w:style>
  <w:style w:type="paragraph" w:styleId="DashedList">
    <w:name w:val="Dashed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DiamondList">
    <w:name w:val="Diamond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DocumentMap">
    <w:name w:val="DocumentMap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Endnote">
    <w:name w:val="Endnote"/>
    <w:qFormat/>
    <w:pPr>
      <w:widowControl/>
      <w:bidi w:val="0"/>
      <w:ind w:left="288" w:hanging="288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Style21">
    <w:name w:val="Endnote Text"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Style22">
    <w:name w:val="Footer"/>
    <w:basedOn w:val="Normal"/>
    <w:pPr>
      <w:spacing w:lineRule="auto" w:line="240" w:before="0" w:after="0"/>
      <w:jc w:val="left"/>
    </w:pPr>
    <w:rPr>
      <w:rFonts w:ascii="Calibri" w:hAnsi="Calibri" w:cs="Calibri"/>
      <w:color w:val="000000"/>
      <w:sz w:val="20"/>
    </w:rPr>
  </w:style>
  <w:style w:type="paragraph" w:styleId="Footnote">
    <w:name w:val="Footnote"/>
    <w:qFormat/>
    <w:pPr>
      <w:widowControl/>
      <w:bidi w:val="0"/>
      <w:ind w:left="288" w:hanging="288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Style23">
    <w:name w:val="Footnote Text"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HandList">
    <w:name w:val="Hand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Style24">
    <w:name w:val="Header"/>
    <w:basedOn w:val="Normal"/>
    <w:pPr>
      <w:spacing w:lineRule="auto" w:line="240" w:before="0" w:after="0"/>
      <w:jc w:val="left"/>
    </w:pPr>
    <w:rPr>
      <w:rFonts w:ascii="Calibri" w:hAnsi="Calibri" w:cs="Calibri"/>
      <w:color w:val="000000"/>
      <w:sz w:val="20"/>
    </w:rPr>
  </w:style>
  <w:style w:type="paragraph" w:styleId="HeartList">
    <w:name w:val="Heart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ImpliesList">
    <w:name w:val="Implies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ListParagraph">
    <w:name w:val="List Paragraph"/>
    <w:basedOn w:val="Normal1"/>
    <w:qFormat/>
    <w:pPr>
      <w:spacing w:before="0" w:after="200"/>
      <w:ind w:left="720" w:hanging="0"/>
    </w:pPr>
    <w:rPr/>
  </w:style>
  <w:style w:type="paragraph" w:styleId="LowerCaseList">
    <w:name w:val="Lower Case List"/>
    <w:basedOn w:val="NumberedList"/>
    <w:qFormat/>
    <w:pPr>
      <w:ind w:left="720" w:hanging="432"/>
    </w:pPr>
    <w:rPr/>
  </w:style>
  <w:style w:type="paragraph" w:styleId="LowerRomanList">
    <w:name w:val="Lower Roman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NoList">
    <w:name w:val="No List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NormalWeb">
    <w:name w:val="Normal (Web)"/>
    <w:basedOn w:val="Normal1"/>
    <w:qFormat/>
    <w:pPr>
      <w:spacing w:before="0" w:after="142"/>
    </w:pPr>
    <w:rPr>
      <w:rFonts w:ascii="Times New Roman" w:hAnsi="Times New Roman" w:cs="Times New Roman"/>
      <w:color w:val="000000"/>
      <w:sz w:val="24"/>
    </w:rPr>
  </w:style>
  <w:style w:type="paragraph" w:styleId="NumberedHeading1">
    <w:name w:val="Numbered Heading 1"/>
    <w:basedOn w:val="1"/>
    <w:qFormat/>
    <w:pPr>
      <w:ind w:hanging="0"/>
    </w:pPr>
    <w:rPr/>
  </w:style>
  <w:style w:type="paragraph" w:styleId="NumberedHeading2">
    <w:name w:val="Numbered Heading 2"/>
    <w:basedOn w:val="2"/>
    <w:qFormat/>
    <w:pPr>
      <w:ind w:hanging="0"/>
    </w:pPr>
    <w:rPr/>
  </w:style>
  <w:style w:type="paragraph" w:styleId="NumberedHeading3">
    <w:name w:val="Numbered Heading 3"/>
    <w:basedOn w:val="3"/>
    <w:qFormat/>
    <w:pPr>
      <w:ind w:hanging="0"/>
    </w:pPr>
    <w:rPr/>
  </w:style>
  <w:style w:type="paragraph" w:styleId="NumberedList">
    <w:name w:val="Numbered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PlainText">
    <w:name w:val="Plain Text"/>
    <w:qFormat/>
    <w:pPr>
      <w:widowControl/>
      <w:bidi w:val="0"/>
      <w:jc w:val="left"/>
    </w:pPr>
    <w:rPr>
      <w:rFonts w:ascii="Courier New" w:hAnsi="Courier New" w:eastAsia="Droid Sans Fallback" w:cs="Courier New"/>
      <w:color w:val="000000"/>
      <w:kern w:val="0"/>
      <w:sz w:val="20"/>
      <w:szCs w:val="20"/>
      <w:lang w:val="ru-RU" w:eastAsia="zh-CN" w:bidi="hi-IN"/>
    </w:rPr>
  </w:style>
  <w:style w:type="paragraph" w:styleId="SectionHeading">
    <w:name w:val="Section Heading"/>
    <w:basedOn w:val="NumberedHeading1"/>
    <w:qFormat/>
    <w:pPr>
      <w:ind w:hanging="0"/>
    </w:pPr>
    <w:rPr/>
  </w:style>
  <w:style w:type="paragraph" w:styleId="SquareList">
    <w:name w:val="Square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StarList">
    <w:name w:val="Star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TickList">
    <w:name w:val="Tick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TriangleList">
    <w:name w:val="Triangle List"/>
    <w:qFormat/>
    <w:pPr>
      <w:widowControl/>
      <w:bidi w:val="0"/>
      <w:ind w:left="720" w:hanging="432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UpperCaseList">
    <w:name w:val="Upper Case List"/>
    <w:basedOn w:val="NumberedList"/>
    <w:qFormat/>
    <w:pPr>
      <w:ind w:left="720" w:hanging="432"/>
    </w:pPr>
    <w:rPr/>
  </w:style>
  <w:style w:type="paragraph" w:styleId="UpperRomanList">
    <w:name w:val="Upper Roman List"/>
    <w:basedOn w:val="NumberedList"/>
    <w:qFormat/>
    <w:pPr>
      <w:ind w:left="720" w:hanging="432"/>
    </w:pPr>
    <w:rPr/>
  </w:style>
  <w:style w:type="paragraph" w:styleId="WW8Num1">
    <w:name w:val="WW8Num1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WW8Num2">
    <w:name w:val="WW8Num2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WW8Num3">
    <w:name w:val="WW8Num3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WW8Num4">
    <w:name w:val="WW8Num4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WW8Num6">
    <w:name w:val="WW8Num6"/>
    <w:qFormat/>
    <w:pPr>
      <w:widowControl/>
      <w:bidi w:val="0"/>
      <w:jc w:val="left"/>
    </w:pPr>
    <w:rPr>
      <w:rFonts w:ascii="Calibri" w:hAnsi="Calibri" w:eastAsia="Droid Sans Fallback" w:cs="Calibri"/>
      <w:color w:val="000000"/>
      <w:kern w:val="0"/>
      <w:sz w:val="20"/>
      <w:szCs w:val="20"/>
      <w:lang w:val="ru-RU" w:eastAsia="zh-CN" w:bidi="hi-IN"/>
    </w:rPr>
  </w:style>
  <w:style w:type="paragraph" w:styleId="Normal1">
    <w:name w:val="_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0"/>
      <w:lang w:val="ru-RU" w:eastAsia="zh-CN" w:bidi="hi-IN"/>
    </w:rPr>
  </w:style>
  <w:style w:type="paragraph" w:styleId="Western">
    <w:name w:val="western"/>
    <w:basedOn w:val="Normal1"/>
    <w:qFormat/>
    <w:pPr>
      <w:spacing w:before="0" w:after="142"/>
    </w:pPr>
    <w:rPr>
      <w:rFonts w:ascii="Times New Roman" w:hAnsi="Times New Roman" w:cs="Times New Roman"/>
      <w:color w:val="000000"/>
      <w:sz w:val="24"/>
    </w:rPr>
  </w:style>
  <w:style w:type="paragraph" w:styleId="Style25">
    <w:name w:val="Абзац списка"/>
    <w:basedOn w:val="Normal1"/>
    <w:qFormat/>
    <w:pPr>
      <w:spacing w:before="0" w:after="200"/>
      <w:ind w:left="720" w:hanging="0"/>
    </w:pPr>
    <w:rPr>
      <w:rFonts w:ascii="Calibri" w:hAnsi="Calibri" w:cs="Calibri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color w:val="000000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WW8Num21">
    <w:name w:val="WW8Num2"/>
    <w:qFormat/>
  </w:style>
  <w:style w:type="numbering" w:styleId="WW8Num61">
    <w:name w:val="WW8Num6"/>
    <w:qFormat/>
  </w:style>
  <w:style w:type="numbering" w:styleId="WW8Num11">
    <w:name w:val="WW8Num1"/>
    <w:qFormat/>
  </w:style>
  <w:style w:type="numbering" w:styleId="WW8Num31">
    <w:name w:val="WW8Num3"/>
    <w:qFormat/>
  </w:style>
  <w:style w:type="numbering" w:styleId="WW8Num41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</TotalTime>
  <Application>LibreOffice/6.2.8.2$Linux_x86 LibreOffice_project/f82ddfca21ebc1e222a662a32b25c0c9d20169ee</Application>
  <Pages>10</Pages>
  <Words>3137</Words>
  <Characters>22968</Characters>
  <CharactersWithSpaces>26062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2021-03-18T10:13:41Z</dcterms:modified>
  <cp:revision>7</cp:revision>
  <dc:subject/>
  <dc:title/>
</cp:coreProperties>
</file>